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6E5C9" w14:textId="6E16C833" w:rsidR="00943A7A" w:rsidRPr="00473B51" w:rsidRDefault="00943A7A" w:rsidP="00943A7A">
      <w:pPr>
        <w:keepLines w:val="0"/>
        <w:widowControl w:val="0"/>
        <w:tabs>
          <w:tab w:val="left" w:pos="5760"/>
        </w:tabs>
        <w:rPr>
          <w:rFonts w:cs="Arial"/>
          <w:color w:val="000000"/>
        </w:rPr>
      </w:pPr>
    </w:p>
    <w:p w14:paraId="2B075267" w14:textId="4A8D8E1E" w:rsidR="00943A7A" w:rsidRPr="00473B51" w:rsidRDefault="00943A7A" w:rsidP="00943A7A">
      <w:pPr>
        <w:keepLines w:val="0"/>
        <w:widowControl w:val="0"/>
        <w:tabs>
          <w:tab w:val="left" w:pos="5760"/>
        </w:tabs>
        <w:rPr>
          <w:rFonts w:cs="Arial"/>
          <w:color w:val="000000"/>
        </w:rPr>
      </w:pPr>
    </w:p>
    <w:p w14:paraId="0304391B" w14:textId="3959FBB8" w:rsidR="00943A7A" w:rsidRPr="00473B51" w:rsidRDefault="00943A7A" w:rsidP="00943A7A">
      <w:pPr>
        <w:keepLines w:val="0"/>
        <w:widowControl w:val="0"/>
        <w:tabs>
          <w:tab w:val="left" w:pos="5760"/>
        </w:tabs>
        <w:rPr>
          <w:rFonts w:cs="Arial"/>
          <w:color w:val="000000"/>
        </w:rPr>
      </w:pPr>
    </w:p>
    <w:p w14:paraId="6DBF3F48" w14:textId="22CB2413" w:rsidR="00943A7A" w:rsidRPr="00473B51" w:rsidRDefault="00943A7A" w:rsidP="00943A7A">
      <w:pPr>
        <w:keepLines w:val="0"/>
        <w:widowControl w:val="0"/>
        <w:tabs>
          <w:tab w:val="left" w:pos="5760"/>
        </w:tabs>
        <w:rPr>
          <w:rFonts w:cs="Arial"/>
          <w:color w:val="000000"/>
        </w:rPr>
      </w:pPr>
    </w:p>
    <w:p w14:paraId="551C3A23" w14:textId="1478CC9D" w:rsidR="00943A7A" w:rsidRPr="00473B51" w:rsidRDefault="00943A7A" w:rsidP="00943A7A">
      <w:pPr>
        <w:keepLines w:val="0"/>
        <w:widowControl w:val="0"/>
        <w:tabs>
          <w:tab w:val="left" w:pos="5760"/>
        </w:tabs>
        <w:rPr>
          <w:rFonts w:cs="Arial"/>
          <w:color w:val="000000"/>
        </w:rPr>
      </w:pPr>
    </w:p>
    <w:p w14:paraId="0F4086C5" w14:textId="77777777" w:rsidR="00943A7A" w:rsidRPr="00473B51" w:rsidRDefault="00943A7A" w:rsidP="00943A7A">
      <w:pPr>
        <w:keepLines w:val="0"/>
        <w:widowControl w:val="0"/>
        <w:tabs>
          <w:tab w:val="left" w:pos="5760"/>
        </w:tabs>
        <w:rPr>
          <w:rFonts w:cs="Arial"/>
          <w:color w:val="000000"/>
        </w:rPr>
      </w:pPr>
    </w:p>
    <w:p w14:paraId="579A1E54" w14:textId="263888C6" w:rsidR="00943A7A" w:rsidRPr="00473B51" w:rsidRDefault="00943A7A" w:rsidP="00943A7A">
      <w:pPr>
        <w:keepLines w:val="0"/>
        <w:widowControl w:val="0"/>
        <w:tabs>
          <w:tab w:val="left" w:pos="5760"/>
        </w:tabs>
        <w:rPr>
          <w:rFonts w:cs="Arial"/>
          <w:color w:val="000000"/>
        </w:rPr>
      </w:pPr>
    </w:p>
    <w:p w14:paraId="2AFD5FCB" w14:textId="1FC03D29" w:rsidR="00943A7A" w:rsidRPr="00473B51" w:rsidRDefault="00943A7A" w:rsidP="00943A7A">
      <w:pPr>
        <w:keepLines w:val="0"/>
        <w:widowControl w:val="0"/>
        <w:tabs>
          <w:tab w:val="left" w:pos="5760"/>
        </w:tabs>
        <w:rPr>
          <w:rFonts w:cs="Arial"/>
          <w:color w:val="000000"/>
        </w:rPr>
      </w:pPr>
    </w:p>
    <w:p w14:paraId="163D5EE7" w14:textId="15DEE510" w:rsidR="00943A7A" w:rsidRPr="00473B51" w:rsidRDefault="00841D41" w:rsidP="00943A7A">
      <w:pPr>
        <w:keepLines w:val="0"/>
        <w:widowControl w:val="0"/>
        <w:tabs>
          <w:tab w:val="left" w:pos="5760"/>
        </w:tabs>
        <w:rPr>
          <w:rFonts w:cs="Arial"/>
          <w:color w:val="000000"/>
        </w:rPr>
      </w:pPr>
      <w:r w:rsidRPr="00473B51">
        <w:rPr>
          <w:rFonts w:cs="Arial"/>
          <w:noProof/>
        </w:rPr>
        <w:drawing>
          <wp:anchor distT="0" distB="0" distL="0" distR="0" simplePos="0" relativeHeight="251661312" behindDoc="0" locked="0" layoutInCell="1" hidden="0" allowOverlap="1" wp14:anchorId="78D81AD3" wp14:editId="23064499">
            <wp:simplePos x="0" y="0"/>
            <wp:positionH relativeFrom="page">
              <wp:align>left</wp:align>
            </wp:positionH>
            <wp:positionV relativeFrom="paragraph">
              <wp:posOffset>300143</wp:posOffset>
            </wp:positionV>
            <wp:extent cx="7571740" cy="428625"/>
            <wp:effectExtent l="0" t="0" r="0" b="9525"/>
            <wp:wrapSquare wrapText="bothSides" distT="0" distB="0" distL="0" distR="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571740" cy="428625"/>
                    </a:xfrm>
                    <a:prstGeom prst="rect">
                      <a:avLst/>
                    </a:prstGeom>
                    <a:ln/>
                  </pic:spPr>
                </pic:pic>
              </a:graphicData>
            </a:graphic>
          </wp:anchor>
        </w:drawing>
      </w:r>
    </w:p>
    <w:p w14:paraId="0F6C89A7" w14:textId="2E4F177C" w:rsidR="00943A7A" w:rsidRPr="00473B51" w:rsidRDefault="00943A7A" w:rsidP="00943A7A">
      <w:pPr>
        <w:keepLines w:val="0"/>
        <w:widowControl w:val="0"/>
        <w:tabs>
          <w:tab w:val="left" w:pos="5760"/>
        </w:tabs>
        <w:rPr>
          <w:rFonts w:cs="Arial"/>
          <w:color w:val="000000"/>
        </w:rPr>
      </w:pPr>
      <w:r w:rsidRPr="00473B51">
        <w:rPr>
          <w:rFonts w:cs="Arial"/>
          <w:color w:val="000000"/>
        </w:rPr>
        <w:tab/>
        <w:t xml:space="preserve"> </w:t>
      </w:r>
    </w:p>
    <w:p w14:paraId="51E976AD" w14:textId="16B6105E" w:rsidR="00943A7A" w:rsidRPr="00473B51" w:rsidRDefault="00943A7A" w:rsidP="00943A7A">
      <w:pPr>
        <w:rPr>
          <w:rFonts w:cs="Arial"/>
        </w:rPr>
      </w:pPr>
    </w:p>
    <w:p w14:paraId="21C5EEB6" w14:textId="7C593ECA" w:rsidR="0025607C" w:rsidRPr="00473B51" w:rsidRDefault="0025607C" w:rsidP="0025607C">
      <w:pPr>
        <w:jc w:val="center"/>
        <w:rPr>
          <w:rFonts w:cs="Arial"/>
        </w:rPr>
      </w:pPr>
    </w:p>
    <w:p w14:paraId="08256F4A" w14:textId="77777777" w:rsidR="00841D41" w:rsidRPr="00473B51" w:rsidRDefault="00841D41" w:rsidP="00841D41">
      <w:pPr>
        <w:rPr>
          <w:rFonts w:cs="Arial"/>
          <w:color w:val="1F7B6E"/>
          <w:sz w:val="48"/>
          <w:szCs w:val="48"/>
        </w:rPr>
      </w:pPr>
      <w:r w:rsidRPr="00473B51">
        <w:rPr>
          <w:rFonts w:cs="Arial"/>
          <w:b/>
          <w:bCs/>
          <w:color w:val="1F7B6E"/>
          <w:sz w:val="48"/>
          <w:szCs w:val="48"/>
        </w:rPr>
        <w:t>C</w:t>
      </w:r>
      <w:r w:rsidRPr="00473B51">
        <w:rPr>
          <w:rFonts w:cs="Arial"/>
          <w:color w:val="1F7B6E"/>
          <w:sz w:val="48"/>
          <w:szCs w:val="48"/>
        </w:rPr>
        <w:t xml:space="preserve">ontrat </w:t>
      </w:r>
      <w:r w:rsidRPr="00473B51">
        <w:rPr>
          <w:rFonts w:cs="Arial"/>
          <w:b/>
          <w:bCs/>
          <w:color w:val="1F7B6E"/>
          <w:sz w:val="48"/>
          <w:szCs w:val="48"/>
        </w:rPr>
        <w:t>P</w:t>
      </w:r>
      <w:r w:rsidRPr="00473B51">
        <w:rPr>
          <w:rFonts w:cs="Arial"/>
          <w:color w:val="1F7B6E"/>
          <w:sz w:val="48"/>
          <w:szCs w:val="48"/>
        </w:rPr>
        <w:t>luriannuel d’</w:t>
      </w:r>
      <w:r w:rsidRPr="00473B51">
        <w:rPr>
          <w:rFonts w:cs="Arial"/>
          <w:b/>
          <w:bCs/>
          <w:color w:val="1F7B6E"/>
          <w:sz w:val="48"/>
          <w:szCs w:val="48"/>
        </w:rPr>
        <w:t>O</w:t>
      </w:r>
      <w:r w:rsidRPr="00473B51">
        <w:rPr>
          <w:rFonts w:cs="Arial"/>
          <w:color w:val="1F7B6E"/>
          <w:sz w:val="48"/>
          <w:szCs w:val="48"/>
        </w:rPr>
        <w:t xml:space="preserve">bjectifs et de </w:t>
      </w:r>
      <w:r w:rsidRPr="00473B51">
        <w:rPr>
          <w:rFonts w:cs="Arial"/>
          <w:b/>
          <w:bCs/>
          <w:color w:val="1F7B6E"/>
          <w:sz w:val="48"/>
          <w:szCs w:val="48"/>
        </w:rPr>
        <w:t>M</w:t>
      </w:r>
      <w:r w:rsidRPr="00473B51">
        <w:rPr>
          <w:rFonts w:cs="Arial"/>
          <w:color w:val="1F7B6E"/>
          <w:sz w:val="48"/>
          <w:szCs w:val="48"/>
        </w:rPr>
        <w:t>oyens</w:t>
      </w:r>
    </w:p>
    <w:p w14:paraId="1F2B1053" w14:textId="77777777" w:rsidR="00841D41" w:rsidRPr="00473B51" w:rsidRDefault="00841D41" w:rsidP="00841D41">
      <w:pPr>
        <w:rPr>
          <w:rFonts w:cs="Arial"/>
          <w:sz w:val="48"/>
          <w:szCs w:val="48"/>
        </w:rPr>
      </w:pPr>
      <w:r w:rsidRPr="00473B51">
        <w:rPr>
          <w:rFonts w:cs="Arial"/>
          <w:sz w:val="48"/>
          <w:szCs w:val="48"/>
        </w:rPr>
        <w:t>20xx-20xx</w:t>
      </w:r>
    </w:p>
    <w:p w14:paraId="521E1197" w14:textId="41E7E1A5" w:rsidR="00841D41" w:rsidRPr="00473B51" w:rsidRDefault="00841D41" w:rsidP="00AF0DE1">
      <w:pPr>
        <w:tabs>
          <w:tab w:val="left" w:pos="7785"/>
        </w:tabs>
        <w:rPr>
          <w:rFonts w:cs="Arial"/>
          <w:sz w:val="32"/>
          <w:szCs w:val="32"/>
        </w:rPr>
      </w:pPr>
      <w:r w:rsidRPr="00473B51">
        <w:rPr>
          <w:rFonts w:cs="Arial"/>
          <w:sz w:val="32"/>
          <w:szCs w:val="32"/>
        </w:rPr>
        <w:t>Nom du gestionnaire :</w:t>
      </w:r>
      <w:r w:rsidR="00AF0DE1" w:rsidRPr="00473B51">
        <w:rPr>
          <w:rFonts w:cs="Arial"/>
          <w:sz w:val="32"/>
          <w:szCs w:val="32"/>
        </w:rPr>
        <w:tab/>
      </w:r>
    </w:p>
    <w:p w14:paraId="6695A974" w14:textId="77777777" w:rsidR="00841D41" w:rsidRPr="00473B51" w:rsidRDefault="00841D41" w:rsidP="00841D41">
      <w:pPr>
        <w:rPr>
          <w:rFonts w:cs="Arial"/>
          <w:sz w:val="32"/>
          <w:szCs w:val="32"/>
        </w:rPr>
      </w:pPr>
      <w:r w:rsidRPr="00473B51">
        <w:rPr>
          <w:rFonts w:cs="Arial"/>
          <w:sz w:val="32"/>
          <w:szCs w:val="32"/>
        </w:rPr>
        <w:t>Nom de(s) établissements(s) et services :</w:t>
      </w:r>
    </w:p>
    <w:p w14:paraId="73F2205C" w14:textId="2CF707E4" w:rsidR="00841D41" w:rsidRPr="00473B51" w:rsidRDefault="00841D41" w:rsidP="0025607C">
      <w:pPr>
        <w:jc w:val="center"/>
        <w:rPr>
          <w:rFonts w:cs="Arial"/>
        </w:rPr>
      </w:pPr>
      <w:r w:rsidRPr="00473B51">
        <w:rPr>
          <w:rFonts w:cs="Arial"/>
          <w:noProof/>
        </w:rPr>
        <w:drawing>
          <wp:anchor distT="0" distB="0" distL="0" distR="0" simplePos="0" relativeHeight="251663360" behindDoc="0" locked="0" layoutInCell="1" hidden="0" allowOverlap="1" wp14:anchorId="2A313FFD" wp14:editId="1BF67FEF">
            <wp:simplePos x="0" y="0"/>
            <wp:positionH relativeFrom="page">
              <wp:align>right</wp:align>
            </wp:positionH>
            <wp:positionV relativeFrom="paragraph">
              <wp:posOffset>196215</wp:posOffset>
            </wp:positionV>
            <wp:extent cx="7571740" cy="428625"/>
            <wp:effectExtent l="0" t="0" r="0" b="9525"/>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571740" cy="428625"/>
                    </a:xfrm>
                    <a:prstGeom prst="rect">
                      <a:avLst/>
                    </a:prstGeom>
                    <a:ln/>
                  </pic:spPr>
                </pic:pic>
              </a:graphicData>
            </a:graphic>
          </wp:anchor>
        </w:drawing>
      </w:r>
    </w:p>
    <w:p w14:paraId="17A7B9ED" w14:textId="06FB37FC" w:rsidR="00841D41" w:rsidRPr="00473B51" w:rsidRDefault="00841D41" w:rsidP="0025607C">
      <w:pPr>
        <w:jc w:val="center"/>
        <w:rPr>
          <w:rFonts w:cs="Arial"/>
        </w:rPr>
      </w:pPr>
    </w:p>
    <w:p w14:paraId="150CC76D" w14:textId="2B8FF1F3" w:rsidR="00841D41" w:rsidRPr="00473B51" w:rsidRDefault="00841D41" w:rsidP="0025607C">
      <w:pPr>
        <w:jc w:val="center"/>
        <w:rPr>
          <w:rFonts w:cs="Arial"/>
        </w:rPr>
      </w:pPr>
    </w:p>
    <w:p w14:paraId="52796EB2" w14:textId="77777777" w:rsidR="00E11B76" w:rsidRDefault="0025607C" w:rsidP="00E11B76">
      <w:pPr>
        <w:ind w:left="708" w:firstLine="708"/>
        <w:jc w:val="center"/>
        <w:rPr>
          <w:rFonts w:cs="Arial"/>
          <w:b/>
          <w:bCs/>
          <w:sz w:val="36"/>
          <w:szCs w:val="36"/>
        </w:rPr>
      </w:pPr>
      <w:r w:rsidRPr="00473B51">
        <w:rPr>
          <w:rFonts w:cs="Arial"/>
          <w:b/>
          <w:bCs/>
          <w:sz w:val="36"/>
          <w:szCs w:val="36"/>
        </w:rPr>
        <w:t>SECTEUR</w:t>
      </w:r>
      <w:r w:rsidR="00E11B76">
        <w:rPr>
          <w:rFonts w:cs="Arial"/>
          <w:b/>
          <w:bCs/>
          <w:sz w:val="36"/>
          <w:szCs w:val="36"/>
        </w:rPr>
        <w:t>S</w:t>
      </w:r>
      <w:r w:rsidRPr="00473B51">
        <w:rPr>
          <w:rFonts w:cs="Arial"/>
          <w:b/>
          <w:bCs/>
          <w:sz w:val="36"/>
          <w:szCs w:val="36"/>
        </w:rPr>
        <w:t xml:space="preserve"> </w:t>
      </w:r>
    </w:p>
    <w:p w14:paraId="1AEDB789" w14:textId="77777777" w:rsidR="00831FBF" w:rsidRDefault="0025607C" w:rsidP="00E11B76">
      <w:pPr>
        <w:ind w:left="708" w:firstLine="708"/>
        <w:jc w:val="center"/>
        <w:rPr>
          <w:rFonts w:cs="Arial"/>
          <w:b/>
          <w:bCs/>
          <w:sz w:val="36"/>
          <w:szCs w:val="36"/>
        </w:rPr>
      </w:pPr>
      <w:r w:rsidRPr="00473B51">
        <w:rPr>
          <w:rFonts w:cs="Arial"/>
          <w:b/>
          <w:bCs/>
          <w:sz w:val="36"/>
          <w:szCs w:val="36"/>
        </w:rPr>
        <w:t xml:space="preserve">PERSONNES </w:t>
      </w:r>
      <w:r w:rsidR="00831FBF">
        <w:rPr>
          <w:rFonts w:cs="Arial"/>
          <w:b/>
          <w:bCs/>
          <w:sz w:val="36"/>
          <w:szCs w:val="36"/>
        </w:rPr>
        <w:t>ÂGÉES</w:t>
      </w:r>
      <w:r w:rsidR="00831FBF" w:rsidRPr="00473B51">
        <w:rPr>
          <w:rFonts w:cs="Arial"/>
          <w:b/>
          <w:bCs/>
          <w:sz w:val="36"/>
          <w:szCs w:val="36"/>
        </w:rPr>
        <w:t xml:space="preserve"> </w:t>
      </w:r>
    </w:p>
    <w:p w14:paraId="12290662" w14:textId="77777777" w:rsidR="00831FBF" w:rsidRDefault="00831FBF" w:rsidP="00E11B76">
      <w:pPr>
        <w:ind w:left="708" w:firstLine="708"/>
        <w:jc w:val="center"/>
        <w:rPr>
          <w:rFonts w:cs="Arial"/>
          <w:b/>
          <w:bCs/>
          <w:sz w:val="36"/>
          <w:szCs w:val="36"/>
        </w:rPr>
      </w:pPr>
      <w:r>
        <w:rPr>
          <w:rFonts w:cs="Arial"/>
          <w:b/>
          <w:bCs/>
          <w:sz w:val="36"/>
          <w:szCs w:val="36"/>
        </w:rPr>
        <w:t xml:space="preserve">&amp; </w:t>
      </w:r>
    </w:p>
    <w:p w14:paraId="517420F2" w14:textId="2CA6B2E0" w:rsidR="00E11B76" w:rsidRDefault="00831FBF" w:rsidP="00E11B76">
      <w:pPr>
        <w:ind w:left="708" w:firstLine="708"/>
        <w:jc w:val="center"/>
        <w:rPr>
          <w:rFonts w:cs="Arial"/>
          <w:b/>
          <w:bCs/>
          <w:sz w:val="36"/>
          <w:szCs w:val="36"/>
        </w:rPr>
      </w:pPr>
      <w:r>
        <w:rPr>
          <w:rFonts w:cs="Arial"/>
          <w:b/>
          <w:bCs/>
          <w:sz w:val="36"/>
          <w:szCs w:val="36"/>
        </w:rPr>
        <w:t>PERSONNES</w:t>
      </w:r>
      <w:r w:rsidRPr="00473B51">
        <w:rPr>
          <w:rFonts w:cs="Arial"/>
          <w:b/>
          <w:bCs/>
          <w:sz w:val="36"/>
          <w:szCs w:val="36"/>
        </w:rPr>
        <w:t xml:space="preserve"> </w:t>
      </w:r>
      <w:r w:rsidR="0025607C" w:rsidRPr="00473B51">
        <w:rPr>
          <w:rFonts w:cs="Arial"/>
          <w:b/>
          <w:bCs/>
          <w:sz w:val="36"/>
          <w:szCs w:val="36"/>
        </w:rPr>
        <w:t>HANDICAP</w:t>
      </w:r>
      <w:r w:rsidR="006439D5" w:rsidRPr="00473B51">
        <w:rPr>
          <w:rFonts w:cs="Arial"/>
          <w:b/>
          <w:bCs/>
          <w:sz w:val="36"/>
          <w:szCs w:val="36"/>
        </w:rPr>
        <w:t>É</w:t>
      </w:r>
      <w:r w:rsidR="0025607C" w:rsidRPr="00473B51">
        <w:rPr>
          <w:rFonts w:cs="Arial"/>
          <w:b/>
          <w:bCs/>
          <w:sz w:val="36"/>
          <w:szCs w:val="36"/>
        </w:rPr>
        <w:t>ES</w:t>
      </w:r>
      <w:r w:rsidR="00E11B76">
        <w:rPr>
          <w:rFonts w:cs="Arial"/>
          <w:b/>
          <w:bCs/>
          <w:sz w:val="36"/>
          <w:szCs w:val="36"/>
        </w:rPr>
        <w:t xml:space="preserve"> </w:t>
      </w:r>
    </w:p>
    <w:p w14:paraId="41638685" w14:textId="0A2FEBB4" w:rsidR="0025607C" w:rsidRPr="00473B51" w:rsidRDefault="0025607C" w:rsidP="00E11B76">
      <w:pPr>
        <w:ind w:left="708" w:firstLine="708"/>
        <w:jc w:val="center"/>
        <w:rPr>
          <w:rFonts w:cs="Arial"/>
          <w:b/>
          <w:bCs/>
          <w:sz w:val="36"/>
          <w:szCs w:val="36"/>
        </w:rPr>
      </w:pPr>
    </w:p>
    <w:p w14:paraId="047AAEBB" w14:textId="4EF88123" w:rsidR="00943A7A" w:rsidRPr="00473B51" w:rsidRDefault="00943A7A" w:rsidP="00943A7A">
      <w:pPr>
        <w:rPr>
          <w:rFonts w:cs="Arial"/>
        </w:rPr>
      </w:pPr>
    </w:p>
    <w:p w14:paraId="718DF447" w14:textId="7154E804" w:rsidR="00943A7A" w:rsidRPr="00473B51" w:rsidRDefault="00943A7A" w:rsidP="00943A7A">
      <w:pPr>
        <w:rPr>
          <w:rFonts w:cs="Arial"/>
        </w:rPr>
      </w:pPr>
    </w:p>
    <w:p w14:paraId="6DE13868" w14:textId="10DD3A64" w:rsidR="00943A7A" w:rsidRPr="00473B51" w:rsidRDefault="00943A7A" w:rsidP="00943A7A">
      <w:pPr>
        <w:rPr>
          <w:rFonts w:cs="Arial"/>
        </w:rPr>
      </w:pPr>
    </w:p>
    <w:p w14:paraId="743DEE48" w14:textId="3A5FA399" w:rsidR="00943A7A" w:rsidRPr="00473B51" w:rsidRDefault="00943A7A" w:rsidP="00943A7A">
      <w:pPr>
        <w:rPr>
          <w:rFonts w:cs="Arial"/>
        </w:rPr>
      </w:pPr>
    </w:p>
    <w:p w14:paraId="06EB2DC8" w14:textId="71954E32" w:rsidR="00943A7A" w:rsidRPr="00473B51" w:rsidRDefault="00943A7A" w:rsidP="00943A7A">
      <w:pPr>
        <w:rPr>
          <w:rFonts w:cs="Arial"/>
        </w:rPr>
      </w:pPr>
    </w:p>
    <w:p w14:paraId="19E2F6CB" w14:textId="1B36427D" w:rsidR="00943A7A" w:rsidRPr="00473B51" w:rsidRDefault="00943A7A" w:rsidP="00943A7A">
      <w:pPr>
        <w:rPr>
          <w:rFonts w:cs="Arial"/>
        </w:rPr>
      </w:pPr>
    </w:p>
    <w:p w14:paraId="4AA585EB" w14:textId="254D3E6F" w:rsidR="00943A7A" w:rsidRPr="00473B51" w:rsidRDefault="00943A7A" w:rsidP="00943A7A">
      <w:pPr>
        <w:rPr>
          <w:rFonts w:cs="Arial"/>
        </w:rPr>
      </w:pPr>
    </w:p>
    <w:p w14:paraId="27C1A898" w14:textId="2B3999BA" w:rsidR="00943A7A" w:rsidRPr="00473B51" w:rsidRDefault="00943A7A" w:rsidP="00943A7A">
      <w:pPr>
        <w:rPr>
          <w:rFonts w:cs="Arial"/>
        </w:rPr>
      </w:pPr>
    </w:p>
    <w:p w14:paraId="5BCB3F0C" w14:textId="1F3E9E55" w:rsidR="00841D41" w:rsidRPr="00473B51" w:rsidRDefault="00841D41" w:rsidP="00943A7A">
      <w:pPr>
        <w:rPr>
          <w:rFonts w:cs="Arial"/>
        </w:rPr>
      </w:pPr>
    </w:p>
    <w:p w14:paraId="404CD6BB" w14:textId="5ED69215" w:rsidR="00841D41" w:rsidRPr="00473B51" w:rsidRDefault="00841D41" w:rsidP="00943A7A">
      <w:pPr>
        <w:rPr>
          <w:rFonts w:cs="Arial"/>
        </w:rPr>
      </w:pPr>
    </w:p>
    <w:p w14:paraId="68AF1AC6" w14:textId="20A31465" w:rsidR="00841D41" w:rsidRPr="00473B51" w:rsidRDefault="00841D41" w:rsidP="00943A7A">
      <w:pPr>
        <w:rPr>
          <w:rFonts w:cs="Arial"/>
        </w:rPr>
      </w:pPr>
    </w:p>
    <w:p w14:paraId="2B5220D6" w14:textId="08C289C9" w:rsidR="00841D41" w:rsidRPr="00473B51" w:rsidRDefault="00841D41" w:rsidP="00943A7A">
      <w:pPr>
        <w:rPr>
          <w:rFonts w:cs="Arial"/>
        </w:rPr>
      </w:pPr>
    </w:p>
    <w:p w14:paraId="2A2CA7E8" w14:textId="29AEA195" w:rsidR="00841D41" w:rsidRPr="00473B51" w:rsidRDefault="00841D41" w:rsidP="00943A7A">
      <w:pPr>
        <w:rPr>
          <w:rFonts w:cs="Arial"/>
        </w:rPr>
      </w:pPr>
    </w:p>
    <w:p w14:paraId="2B79A846" w14:textId="7539426B" w:rsidR="006439D5" w:rsidRPr="00473B51" w:rsidRDefault="006439D5" w:rsidP="00943A7A">
      <w:pPr>
        <w:rPr>
          <w:rFonts w:cs="Arial"/>
        </w:rPr>
      </w:pPr>
    </w:p>
    <w:p w14:paraId="30B5FD88" w14:textId="50CC0B38" w:rsidR="006439D5" w:rsidRPr="00473B51" w:rsidRDefault="006439D5" w:rsidP="00943A7A">
      <w:pPr>
        <w:rPr>
          <w:rFonts w:cs="Arial"/>
        </w:rPr>
      </w:pPr>
    </w:p>
    <w:p w14:paraId="3ED741C1" w14:textId="63025DDB" w:rsidR="006439D5" w:rsidRPr="00473B51" w:rsidRDefault="006439D5" w:rsidP="00943A7A">
      <w:pPr>
        <w:rPr>
          <w:rFonts w:cs="Arial"/>
        </w:rPr>
      </w:pPr>
    </w:p>
    <w:p w14:paraId="6CD7851B" w14:textId="231A41E4" w:rsidR="006439D5" w:rsidRPr="00473B51" w:rsidRDefault="006439D5" w:rsidP="00943A7A">
      <w:pPr>
        <w:rPr>
          <w:rFonts w:cs="Arial"/>
        </w:rPr>
      </w:pPr>
    </w:p>
    <w:p w14:paraId="415E7CA7" w14:textId="71EAC27D" w:rsidR="006439D5" w:rsidRPr="00473B51" w:rsidRDefault="006439D5" w:rsidP="00943A7A">
      <w:pPr>
        <w:rPr>
          <w:rFonts w:cs="Arial"/>
        </w:rPr>
      </w:pPr>
    </w:p>
    <w:p w14:paraId="56342BCC" w14:textId="77777777" w:rsidR="00B966B2" w:rsidRPr="00473B51" w:rsidRDefault="00B966B2" w:rsidP="00943A7A">
      <w:pPr>
        <w:rPr>
          <w:rFonts w:cs="Arial"/>
        </w:rPr>
      </w:pPr>
    </w:p>
    <w:p w14:paraId="575FE40D" w14:textId="14BC9B52" w:rsidR="006439D5" w:rsidRPr="00473B51" w:rsidRDefault="006439D5" w:rsidP="00943A7A">
      <w:pPr>
        <w:rPr>
          <w:rFonts w:cs="Arial"/>
        </w:rPr>
      </w:pPr>
    </w:p>
    <w:p w14:paraId="229F4F0A" w14:textId="54A7F997" w:rsidR="006439D5" w:rsidRPr="00473B51" w:rsidRDefault="006439D5" w:rsidP="00943A7A">
      <w:pPr>
        <w:rPr>
          <w:rFonts w:cs="Arial"/>
        </w:rPr>
      </w:pPr>
    </w:p>
    <w:p w14:paraId="4B1EF038" w14:textId="77777777" w:rsidR="006439D5" w:rsidRPr="00473B51" w:rsidRDefault="006439D5" w:rsidP="00943A7A">
      <w:pPr>
        <w:rPr>
          <w:rFonts w:cs="Arial"/>
        </w:rPr>
      </w:pPr>
    </w:p>
    <w:sdt>
      <w:sdtPr>
        <w:rPr>
          <w:rFonts w:ascii="Arial" w:eastAsia="Times New Roman" w:hAnsi="Arial" w:cs="Arial"/>
          <w:color w:val="auto"/>
          <w:sz w:val="20"/>
          <w:szCs w:val="20"/>
        </w:rPr>
        <w:id w:val="786547177"/>
        <w:docPartObj>
          <w:docPartGallery w:val="Table of Contents"/>
          <w:docPartUnique/>
        </w:docPartObj>
      </w:sdtPr>
      <w:sdtEndPr>
        <w:rPr>
          <w:b/>
          <w:bCs/>
        </w:rPr>
      </w:sdtEndPr>
      <w:sdtContent>
        <w:p w14:paraId="43B27915" w14:textId="795A475E" w:rsidR="00B74843" w:rsidRPr="00473B51" w:rsidRDefault="00B74843">
          <w:pPr>
            <w:pStyle w:val="En-ttedetabledesmatires"/>
            <w:rPr>
              <w:rFonts w:ascii="Arial" w:hAnsi="Arial" w:cs="Arial"/>
            </w:rPr>
          </w:pPr>
          <w:r w:rsidRPr="00473B51">
            <w:rPr>
              <w:rFonts w:ascii="Arial" w:hAnsi="Arial" w:cs="Arial"/>
            </w:rPr>
            <w:t>Table des matières</w:t>
          </w:r>
        </w:p>
        <w:p w14:paraId="6CCB211E" w14:textId="14F6E5F8" w:rsidR="009E4F52" w:rsidRDefault="00B74843">
          <w:pPr>
            <w:pStyle w:val="TM1"/>
            <w:rPr>
              <w:rFonts w:asciiTheme="minorHAnsi" w:eastAsiaTheme="minorEastAsia" w:hAnsiTheme="minorHAnsi" w:cstheme="minorBidi"/>
              <w:b w:val="0"/>
              <w:bCs w:val="0"/>
              <w:sz w:val="22"/>
              <w:szCs w:val="22"/>
            </w:rPr>
          </w:pPr>
          <w:r w:rsidRPr="00473B51">
            <w:fldChar w:fldCharType="begin"/>
          </w:r>
          <w:r w:rsidRPr="00473B51">
            <w:instrText xml:space="preserve"> TOC \o "1-3" \h \z \u </w:instrText>
          </w:r>
          <w:r w:rsidRPr="00473B51">
            <w:fldChar w:fldCharType="separate"/>
          </w:r>
          <w:hyperlink w:anchor="_Toc69303796" w:history="1">
            <w:r w:rsidR="009E4F52" w:rsidRPr="000E2A74">
              <w:rPr>
                <w:rStyle w:val="Lienhypertexte"/>
              </w:rPr>
              <w:t>PREAMBULE</w:t>
            </w:r>
            <w:r w:rsidR="009E4F52">
              <w:rPr>
                <w:webHidden/>
              </w:rPr>
              <w:tab/>
            </w:r>
            <w:r w:rsidR="009E4F52">
              <w:rPr>
                <w:webHidden/>
              </w:rPr>
              <w:fldChar w:fldCharType="begin"/>
            </w:r>
            <w:r w:rsidR="009E4F52">
              <w:rPr>
                <w:webHidden/>
              </w:rPr>
              <w:instrText xml:space="preserve"> PAGEREF _Toc69303796 \h </w:instrText>
            </w:r>
            <w:r w:rsidR="009E4F52">
              <w:rPr>
                <w:webHidden/>
              </w:rPr>
            </w:r>
            <w:r w:rsidR="009E4F52">
              <w:rPr>
                <w:webHidden/>
              </w:rPr>
              <w:fldChar w:fldCharType="separate"/>
            </w:r>
            <w:r w:rsidR="009E4F52">
              <w:rPr>
                <w:webHidden/>
              </w:rPr>
              <w:t>2</w:t>
            </w:r>
            <w:r w:rsidR="009E4F52">
              <w:rPr>
                <w:webHidden/>
              </w:rPr>
              <w:fldChar w:fldCharType="end"/>
            </w:r>
          </w:hyperlink>
        </w:p>
        <w:p w14:paraId="47C25BF5" w14:textId="275794B2" w:rsidR="009E4F52" w:rsidRDefault="009E4F52">
          <w:pPr>
            <w:pStyle w:val="TM1"/>
            <w:rPr>
              <w:rFonts w:asciiTheme="minorHAnsi" w:eastAsiaTheme="minorEastAsia" w:hAnsiTheme="minorHAnsi" w:cstheme="minorBidi"/>
              <w:b w:val="0"/>
              <w:bCs w:val="0"/>
              <w:sz w:val="22"/>
              <w:szCs w:val="22"/>
            </w:rPr>
          </w:pPr>
          <w:hyperlink w:anchor="_Toc69303797" w:history="1">
            <w:r w:rsidRPr="000E2A74">
              <w:rPr>
                <w:rStyle w:val="Lienhypertexte"/>
              </w:rPr>
              <w:t>TITRE 1- OBJET DU CONTRAT</w:t>
            </w:r>
            <w:r>
              <w:rPr>
                <w:webHidden/>
              </w:rPr>
              <w:tab/>
            </w:r>
            <w:r>
              <w:rPr>
                <w:webHidden/>
              </w:rPr>
              <w:fldChar w:fldCharType="begin"/>
            </w:r>
            <w:r>
              <w:rPr>
                <w:webHidden/>
              </w:rPr>
              <w:instrText xml:space="preserve"> PAGEREF _Toc69303797 \h </w:instrText>
            </w:r>
            <w:r>
              <w:rPr>
                <w:webHidden/>
              </w:rPr>
            </w:r>
            <w:r>
              <w:rPr>
                <w:webHidden/>
              </w:rPr>
              <w:fldChar w:fldCharType="separate"/>
            </w:r>
            <w:r>
              <w:rPr>
                <w:webHidden/>
              </w:rPr>
              <w:t>4</w:t>
            </w:r>
            <w:r>
              <w:rPr>
                <w:webHidden/>
              </w:rPr>
              <w:fldChar w:fldCharType="end"/>
            </w:r>
          </w:hyperlink>
        </w:p>
        <w:p w14:paraId="064E9AC0" w14:textId="07039A99" w:rsidR="009E4F52" w:rsidRPr="009E4F52" w:rsidRDefault="009E4F52">
          <w:pPr>
            <w:pStyle w:val="TM2"/>
            <w:tabs>
              <w:tab w:val="right" w:leader="dot" w:pos="9345"/>
            </w:tabs>
            <w:rPr>
              <w:rFonts w:asciiTheme="minorHAnsi" w:eastAsiaTheme="minorEastAsia" w:hAnsiTheme="minorHAnsi" w:cstheme="minorBidi"/>
              <w:noProof/>
              <w:sz w:val="22"/>
              <w:szCs w:val="22"/>
            </w:rPr>
          </w:pPr>
          <w:hyperlink w:anchor="_Toc69303798" w:history="1">
            <w:r w:rsidRPr="009E4F52">
              <w:rPr>
                <w:rStyle w:val="Lienhypertexte"/>
                <w:rFonts w:cs="Arial"/>
                <w:noProof/>
              </w:rPr>
              <w:t>Article 1 – Identification de l’OG/ESMS entrant dans le périmètre du CPOM</w:t>
            </w:r>
            <w:r w:rsidRPr="009E4F52">
              <w:rPr>
                <w:noProof/>
                <w:webHidden/>
              </w:rPr>
              <w:tab/>
            </w:r>
            <w:r w:rsidRPr="009E4F52">
              <w:rPr>
                <w:noProof/>
                <w:webHidden/>
              </w:rPr>
              <w:fldChar w:fldCharType="begin"/>
            </w:r>
            <w:r w:rsidRPr="009E4F52">
              <w:rPr>
                <w:noProof/>
                <w:webHidden/>
              </w:rPr>
              <w:instrText xml:space="preserve"> PAGEREF _Toc69303798 \h </w:instrText>
            </w:r>
            <w:r w:rsidRPr="009E4F52">
              <w:rPr>
                <w:noProof/>
                <w:webHidden/>
              </w:rPr>
            </w:r>
            <w:r w:rsidRPr="009E4F52">
              <w:rPr>
                <w:noProof/>
                <w:webHidden/>
              </w:rPr>
              <w:fldChar w:fldCharType="separate"/>
            </w:r>
            <w:r w:rsidRPr="009E4F52">
              <w:rPr>
                <w:noProof/>
                <w:webHidden/>
              </w:rPr>
              <w:t>4</w:t>
            </w:r>
            <w:r w:rsidRPr="009E4F52">
              <w:rPr>
                <w:noProof/>
                <w:webHidden/>
              </w:rPr>
              <w:fldChar w:fldCharType="end"/>
            </w:r>
          </w:hyperlink>
        </w:p>
        <w:p w14:paraId="10937BF0" w14:textId="376E8818" w:rsidR="009E4F52" w:rsidRPr="009E4F52" w:rsidRDefault="009E4F52">
          <w:pPr>
            <w:pStyle w:val="TM2"/>
            <w:tabs>
              <w:tab w:val="right" w:leader="dot" w:pos="9345"/>
            </w:tabs>
            <w:rPr>
              <w:rFonts w:asciiTheme="minorHAnsi" w:eastAsiaTheme="minorEastAsia" w:hAnsiTheme="minorHAnsi" w:cstheme="minorBidi"/>
              <w:noProof/>
              <w:sz w:val="22"/>
              <w:szCs w:val="22"/>
            </w:rPr>
          </w:pPr>
          <w:hyperlink w:anchor="_Toc69303799" w:history="1">
            <w:r w:rsidRPr="009E4F52">
              <w:rPr>
                <w:rStyle w:val="Lienhypertexte"/>
                <w:rFonts w:cs="Arial"/>
                <w:noProof/>
              </w:rPr>
              <w:t>Article 2 – Diagnostic partagé</w:t>
            </w:r>
            <w:r w:rsidRPr="009E4F52">
              <w:rPr>
                <w:noProof/>
                <w:webHidden/>
              </w:rPr>
              <w:tab/>
            </w:r>
            <w:r w:rsidRPr="009E4F52">
              <w:rPr>
                <w:noProof/>
                <w:webHidden/>
              </w:rPr>
              <w:fldChar w:fldCharType="begin"/>
            </w:r>
            <w:r w:rsidRPr="009E4F52">
              <w:rPr>
                <w:noProof/>
                <w:webHidden/>
              </w:rPr>
              <w:instrText xml:space="preserve"> PAGEREF _Toc69303799 \h </w:instrText>
            </w:r>
            <w:r w:rsidRPr="009E4F52">
              <w:rPr>
                <w:noProof/>
                <w:webHidden/>
              </w:rPr>
            </w:r>
            <w:r w:rsidRPr="009E4F52">
              <w:rPr>
                <w:noProof/>
                <w:webHidden/>
              </w:rPr>
              <w:fldChar w:fldCharType="separate"/>
            </w:r>
            <w:r w:rsidRPr="009E4F52">
              <w:rPr>
                <w:noProof/>
                <w:webHidden/>
              </w:rPr>
              <w:t>4</w:t>
            </w:r>
            <w:r w:rsidRPr="009E4F52">
              <w:rPr>
                <w:noProof/>
                <w:webHidden/>
              </w:rPr>
              <w:fldChar w:fldCharType="end"/>
            </w:r>
          </w:hyperlink>
        </w:p>
        <w:p w14:paraId="050664E8" w14:textId="2D49A349" w:rsidR="009E4F52" w:rsidRPr="009E4F52" w:rsidRDefault="009E4F52">
          <w:pPr>
            <w:pStyle w:val="TM2"/>
            <w:tabs>
              <w:tab w:val="right" w:leader="dot" w:pos="9345"/>
            </w:tabs>
            <w:rPr>
              <w:rFonts w:asciiTheme="minorHAnsi" w:eastAsiaTheme="minorEastAsia" w:hAnsiTheme="minorHAnsi" w:cstheme="minorBidi"/>
              <w:noProof/>
              <w:sz w:val="22"/>
              <w:szCs w:val="22"/>
            </w:rPr>
          </w:pPr>
          <w:hyperlink w:anchor="_Toc69303800" w:history="1">
            <w:r w:rsidRPr="009E4F52">
              <w:rPr>
                <w:rStyle w:val="Lienhypertexte"/>
                <w:rFonts w:cs="Arial"/>
                <w:noProof/>
              </w:rPr>
              <w:t>Article 3 – Objectifs fixés dans le cadre du CPOM sur la base du diagnostic partagé</w:t>
            </w:r>
            <w:r w:rsidRPr="009E4F52">
              <w:rPr>
                <w:noProof/>
                <w:webHidden/>
              </w:rPr>
              <w:tab/>
            </w:r>
            <w:r w:rsidRPr="009E4F52">
              <w:rPr>
                <w:noProof/>
                <w:webHidden/>
              </w:rPr>
              <w:fldChar w:fldCharType="begin"/>
            </w:r>
            <w:r w:rsidRPr="009E4F52">
              <w:rPr>
                <w:noProof/>
                <w:webHidden/>
              </w:rPr>
              <w:instrText xml:space="preserve"> PAGEREF _Toc69303800 \h </w:instrText>
            </w:r>
            <w:r w:rsidRPr="009E4F52">
              <w:rPr>
                <w:noProof/>
                <w:webHidden/>
              </w:rPr>
            </w:r>
            <w:r w:rsidRPr="009E4F52">
              <w:rPr>
                <w:noProof/>
                <w:webHidden/>
              </w:rPr>
              <w:fldChar w:fldCharType="separate"/>
            </w:r>
            <w:r w:rsidRPr="009E4F52">
              <w:rPr>
                <w:noProof/>
                <w:webHidden/>
              </w:rPr>
              <w:t>5</w:t>
            </w:r>
            <w:r w:rsidRPr="009E4F52">
              <w:rPr>
                <w:noProof/>
                <w:webHidden/>
              </w:rPr>
              <w:fldChar w:fldCharType="end"/>
            </w:r>
          </w:hyperlink>
        </w:p>
        <w:p w14:paraId="6159CD07" w14:textId="0F7E9E45" w:rsidR="009E4F52" w:rsidRPr="009E4F52" w:rsidRDefault="009E4F52">
          <w:pPr>
            <w:pStyle w:val="TM2"/>
            <w:tabs>
              <w:tab w:val="right" w:leader="dot" w:pos="9345"/>
            </w:tabs>
            <w:rPr>
              <w:rFonts w:asciiTheme="minorHAnsi" w:eastAsiaTheme="minorEastAsia" w:hAnsiTheme="minorHAnsi" w:cstheme="minorBidi"/>
              <w:noProof/>
              <w:sz w:val="22"/>
              <w:szCs w:val="22"/>
            </w:rPr>
          </w:pPr>
          <w:hyperlink w:anchor="_Toc69303801" w:history="1">
            <w:r w:rsidRPr="009E4F52">
              <w:rPr>
                <w:rStyle w:val="Lienhypertexte"/>
                <w:rFonts w:cs="Arial"/>
                <w:noProof/>
              </w:rPr>
              <w:t>Article 4 – Moyens dédiés à la réalisation du CPOM</w:t>
            </w:r>
            <w:r w:rsidRPr="009E4F52">
              <w:rPr>
                <w:noProof/>
                <w:webHidden/>
              </w:rPr>
              <w:tab/>
            </w:r>
            <w:r w:rsidRPr="009E4F52">
              <w:rPr>
                <w:noProof/>
                <w:webHidden/>
              </w:rPr>
              <w:fldChar w:fldCharType="begin"/>
            </w:r>
            <w:r w:rsidRPr="009E4F52">
              <w:rPr>
                <w:noProof/>
                <w:webHidden/>
              </w:rPr>
              <w:instrText xml:space="preserve"> PAGEREF _Toc69303801 \h </w:instrText>
            </w:r>
            <w:r w:rsidRPr="009E4F52">
              <w:rPr>
                <w:noProof/>
                <w:webHidden/>
              </w:rPr>
            </w:r>
            <w:r w:rsidRPr="009E4F52">
              <w:rPr>
                <w:noProof/>
                <w:webHidden/>
              </w:rPr>
              <w:fldChar w:fldCharType="separate"/>
            </w:r>
            <w:r w:rsidRPr="009E4F52">
              <w:rPr>
                <w:noProof/>
                <w:webHidden/>
              </w:rPr>
              <w:t>5</w:t>
            </w:r>
            <w:r w:rsidRPr="009E4F52">
              <w:rPr>
                <w:noProof/>
                <w:webHidden/>
              </w:rPr>
              <w:fldChar w:fldCharType="end"/>
            </w:r>
          </w:hyperlink>
        </w:p>
        <w:p w14:paraId="4D1B80F3" w14:textId="177C11C8" w:rsidR="009E4F52" w:rsidRPr="009E4F52" w:rsidRDefault="009E4F52">
          <w:pPr>
            <w:pStyle w:val="TM2"/>
            <w:tabs>
              <w:tab w:val="right" w:leader="dot" w:pos="9345"/>
            </w:tabs>
            <w:rPr>
              <w:rFonts w:asciiTheme="minorHAnsi" w:eastAsiaTheme="minorEastAsia" w:hAnsiTheme="minorHAnsi" w:cstheme="minorBidi"/>
              <w:noProof/>
              <w:sz w:val="22"/>
              <w:szCs w:val="22"/>
            </w:rPr>
          </w:pPr>
          <w:hyperlink w:anchor="_Toc69303802" w:history="1">
            <w:r w:rsidRPr="009E4F52">
              <w:rPr>
                <w:rStyle w:val="Lienhypertexte"/>
                <w:rFonts w:cs="Arial"/>
                <w:noProof/>
              </w:rPr>
              <w:t>Article 5 – Procédure budgétaire (EPRD/ERRD)</w:t>
            </w:r>
            <w:r w:rsidRPr="009E4F52">
              <w:rPr>
                <w:noProof/>
                <w:webHidden/>
              </w:rPr>
              <w:tab/>
            </w:r>
            <w:r w:rsidRPr="009E4F52">
              <w:rPr>
                <w:noProof/>
                <w:webHidden/>
              </w:rPr>
              <w:fldChar w:fldCharType="begin"/>
            </w:r>
            <w:r w:rsidRPr="009E4F52">
              <w:rPr>
                <w:noProof/>
                <w:webHidden/>
              </w:rPr>
              <w:instrText xml:space="preserve"> PAGEREF _Toc69303802 \h </w:instrText>
            </w:r>
            <w:r w:rsidRPr="009E4F52">
              <w:rPr>
                <w:noProof/>
                <w:webHidden/>
              </w:rPr>
            </w:r>
            <w:r w:rsidRPr="009E4F52">
              <w:rPr>
                <w:noProof/>
                <w:webHidden/>
              </w:rPr>
              <w:fldChar w:fldCharType="separate"/>
            </w:r>
            <w:r w:rsidRPr="009E4F52">
              <w:rPr>
                <w:noProof/>
                <w:webHidden/>
              </w:rPr>
              <w:t>13</w:t>
            </w:r>
            <w:r w:rsidRPr="009E4F52">
              <w:rPr>
                <w:noProof/>
                <w:webHidden/>
              </w:rPr>
              <w:fldChar w:fldCharType="end"/>
            </w:r>
          </w:hyperlink>
        </w:p>
        <w:p w14:paraId="332ECA56" w14:textId="2B483E74" w:rsidR="009E4F52" w:rsidRPr="009E4F52" w:rsidRDefault="009E4F52">
          <w:pPr>
            <w:pStyle w:val="TM2"/>
            <w:tabs>
              <w:tab w:val="right" w:leader="dot" w:pos="9345"/>
            </w:tabs>
            <w:rPr>
              <w:rFonts w:asciiTheme="minorHAnsi" w:eastAsiaTheme="minorEastAsia" w:hAnsiTheme="minorHAnsi" w:cstheme="minorBidi"/>
              <w:noProof/>
              <w:sz w:val="22"/>
              <w:szCs w:val="22"/>
            </w:rPr>
          </w:pPr>
          <w:hyperlink w:anchor="_Toc69303803" w:history="1">
            <w:r w:rsidRPr="009E4F52">
              <w:rPr>
                <w:rStyle w:val="Lienhypertexte"/>
                <w:rFonts w:cs="Arial"/>
                <w:noProof/>
              </w:rPr>
              <w:t>Article 6 – Investissements</w:t>
            </w:r>
            <w:r w:rsidRPr="009E4F52">
              <w:rPr>
                <w:noProof/>
                <w:webHidden/>
              </w:rPr>
              <w:tab/>
            </w:r>
            <w:r w:rsidRPr="009E4F52">
              <w:rPr>
                <w:noProof/>
                <w:webHidden/>
              </w:rPr>
              <w:fldChar w:fldCharType="begin"/>
            </w:r>
            <w:r w:rsidRPr="009E4F52">
              <w:rPr>
                <w:noProof/>
                <w:webHidden/>
              </w:rPr>
              <w:instrText xml:space="preserve"> PAGEREF _Toc69303803 \h </w:instrText>
            </w:r>
            <w:r w:rsidRPr="009E4F52">
              <w:rPr>
                <w:noProof/>
                <w:webHidden/>
              </w:rPr>
            </w:r>
            <w:r w:rsidRPr="009E4F52">
              <w:rPr>
                <w:noProof/>
                <w:webHidden/>
              </w:rPr>
              <w:fldChar w:fldCharType="separate"/>
            </w:r>
            <w:r w:rsidRPr="009E4F52">
              <w:rPr>
                <w:noProof/>
                <w:webHidden/>
              </w:rPr>
              <w:t>14</w:t>
            </w:r>
            <w:r w:rsidRPr="009E4F52">
              <w:rPr>
                <w:noProof/>
                <w:webHidden/>
              </w:rPr>
              <w:fldChar w:fldCharType="end"/>
            </w:r>
          </w:hyperlink>
        </w:p>
        <w:p w14:paraId="251519D7" w14:textId="4CD1FF1D" w:rsidR="009E4F52" w:rsidRDefault="009E4F52">
          <w:pPr>
            <w:pStyle w:val="TM1"/>
            <w:rPr>
              <w:rFonts w:asciiTheme="minorHAnsi" w:eastAsiaTheme="minorEastAsia" w:hAnsiTheme="minorHAnsi" w:cstheme="minorBidi"/>
              <w:b w:val="0"/>
              <w:bCs w:val="0"/>
              <w:sz w:val="22"/>
              <w:szCs w:val="22"/>
            </w:rPr>
          </w:pPr>
          <w:hyperlink w:anchor="_Toc69303804" w:history="1">
            <w:r w:rsidRPr="000E2A74">
              <w:rPr>
                <w:rStyle w:val="Lienhypertexte"/>
              </w:rPr>
              <w:t>TITRE 2 – LA MISE EN ŒUVRE DU CONTRAT</w:t>
            </w:r>
            <w:r>
              <w:rPr>
                <w:webHidden/>
              </w:rPr>
              <w:tab/>
            </w:r>
            <w:r>
              <w:rPr>
                <w:webHidden/>
              </w:rPr>
              <w:fldChar w:fldCharType="begin"/>
            </w:r>
            <w:r>
              <w:rPr>
                <w:webHidden/>
              </w:rPr>
              <w:instrText xml:space="preserve"> PAGEREF _Toc69303804 \h </w:instrText>
            </w:r>
            <w:r>
              <w:rPr>
                <w:webHidden/>
              </w:rPr>
            </w:r>
            <w:r>
              <w:rPr>
                <w:webHidden/>
              </w:rPr>
              <w:fldChar w:fldCharType="separate"/>
            </w:r>
            <w:r>
              <w:rPr>
                <w:webHidden/>
              </w:rPr>
              <w:t>16</w:t>
            </w:r>
            <w:r>
              <w:rPr>
                <w:webHidden/>
              </w:rPr>
              <w:fldChar w:fldCharType="end"/>
            </w:r>
          </w:hyperlink>
        </w:p>
        <w:p w14:paraId="358D035B" w14:textId="5812A033" w:rsidR="009E4F52" w:rsidRPr="009E4F52" w:rsidRDefault="009E4F52">
          <w:pPr>
            <w:pStyle w:val="TM2"/>
            <w:tabs>
              <w:tab w:val="right" w:leader="dot" w:pos="9345"/>
            </w:tabs>
            <w:rPr>
              <w:rFonts w:asciiTheme="minorHAnsi" w:eastAsiaTheme="minorEastAsia" w:hAnsiTheme="minorHAnsi" w:cstheme="minorBidi"/>
              <w:noProof/>
              <w:sz w:val="22"/>
              <w:szCs w:val="22"/>
            </w:rPr>
          </w:pPr>
          <w:hyperlink w:anchor="_Toc69303805" w:history="1">
            <w:r w:rsidRPr="009E4F52">
              <w:rPr>
                <w:rStyle w:val="Lienhypertexte"/>
                <w:rFonts w:cs="Arial"/>
                <w:noProof/>
              </w:rPr>
              <w:t>Article 1 – Le suivi de l’évaluation du contrat</w:t>
            </w:r>
            <w:r w:rsidRPr="009E4F52">
              <w:rPr>
                <w:noProof/>
                <w:webHidden/>
              </w:rPr>
              <w:tab/>
            </w:r>
            <w:r w:rsidRPr="009E4F52">
              <w:rPr>
                <w:noProof/>
                <w:webHidden/>
              </w:rPr>
              <w:fldChar w:fldCharType="begin"/>
            </w:r>
            <w:r w:rsidRPr="009E4F52">
              <w:rPr>
                <w:noProof/>
                <w:webHidden/>
              </w:rPr>
              <w:instrText xml:space="preserve"> PAGEREF _Toc69303805 \h </w:instrText>
            </w:r>
            <w:r w:rsidRPr="009E4F52">
              <w:rPr>
                <w:noProof/>
                <w:webHidden/>
              </w:rPr>
            </w:r>
            <w:r w:rsidRPr="009E4F52">
              <w:rPr>
                <w:noProof/>
                <w:webHidden/>
              </w:rPr>
              <w:fldChar w:fldCharType="separate"/>
            </w:r>
            <w:r w:rsidRPr="009E4F52">
              <w:rPr>
                <w:noProof/>
                <w:webHidden/>
              </w:rPr>
              <w:t>16</w:t>
            </w:r>
            <w:r w:rsidRPr="009E4F52">
              <w:rPr>
                <w:noProof/>
                <w:webHidden/>
              </w:rPr>
              <w:fldChar w:fldCharType="end"/>
            </w:r>
          </w:hyperlink>
        </w:p>
        <w:p w14:paraId="7DC68103" w14:textId="6AEF440A" w:rsidR="009E4F52" w:rsidRPr="009E4F52" w:rsidRDefault="009E4F52">
          <w:pPr>
            <w:pStyle w:val="TM2"/>
            <w:tabs>
              <w:tab w:val="right" w:leader="dot" w:pos="9345"/>
            </w:tabs>
            <w:rPr>
              <w:rFonts w:asciiTheme="minorHAnsi" w:eastAsiaTheme="minorEastAsia" w:hAnsiTheme="minorHAnsi" w:cstheme="minorBidi"/>
              <w:noProof/>
              <w:sz w:val="22"/>
              <w:szCs w:val="22"/>
            </w:rPr>
          </w:pPr>
          <w:hyperlink w:anchor="_Toc69303806" w:history="1">
            <w:r w:rsidRPr="009E4F52">
              <w:rPr>
                <w:rStyle w:val="Lienhypertexte"/>
                <w:rFonts w:cs="Arial"/>
                <w:noProof/>
              </w:rPr>
              <w:t>Article 2 – Le traitement des litiges :</w:t>
            </w:r>
            <w:r w:rsidRPr="009E4F52">
              <w:rPr>
                <w:noProof/>
                <w:webHidden/>
              </w:rPr>
              <w:tab/>
            </w:r>
            <w:r w:rsidRPr="009E4F52">
              <w:rPr>
                <w:noProof/>
                <w:webHidden/>
              </w:rPr>
              <w:fldChar w:fldCharType="begin"/>
            </w:r>
            <w:r w:rsidRPr="009E4F52">
              <w:rPr>
                <w:noProof/>
                <w:webHidden/>
              </w:rPr>
              <w:instrText xml:space="preserve"> PAGEREF _Toc69303806 \h </w:instrText>
            </w:r>
            <w:r w:rsidRPr="009E4F52">
              <w:rPr>
                <w:noProof/>
                <w:webHidden/>
              </w:rPr>
            </w:r>
            <w:r w:rsidRPr="009E4F52">
              <w:rPr>
                <w:noProof/>
                <w:webHidden/>
              </w:rPr>
              <w:fldChar w:fldCharType="separate"/>
            </w:r>
            <w:r w:rsidRPr="009E4F52">
              <w:rPr>
                <w:noProof/>
                <w:webHidden/>
              </w:rPr>
              <w:t>17</w:t>
            </w:r>
            <w:r w:rsidRPr="009E4F52">
              <w:rPr>
                <w:noProof/>
                <w:webHidden/>
              </w:rPr>
              <w:fldChar w:fldCharType="end"/>
            </w:r>
          </w:hyperlink>
        </w:p>
        <w:p w14:paraId="435050D1" w14:textId="3A67C8F9" w:rsidR="009E4F52" w:rsidRPr="009E4F52" w:rsidRDefault="009E4F52">
          <w:pPr>
            <w:pStyle w:val="TM2"/>
            <w:tabs>
              <w:tab w:val="right" w:leader="dot" w:pos="9345"/>
            </w:tabs>
            <w:rPr>
              <w:rFonts w:asciiTheme="minorHAnsi" w:eastAsiaTheme="minorEastAsia" w:hAnsiTheme="minorHAnsi" w:cstheme="minorBidi"/>
              <w:noProof/>
              <w:sz w:val="22"/>
              <w:szCs w:val="22"/>
            </w:rPr>
          </w:pPr>
          <w:hyperlink w:anchor="_Toc69303807" w:history="1">
            <w:r w:rsidRPr="009E4F52">
              <w:rPr>
                <w:rStyle w:val="Lienhypertexte"/>
                <w:rFonts w:cs="Arial"/>
                <w:noProof/>
              </w:rPr>
              <w:t>Article 3 – La révision du contrat</w:t>
            </w:r>
            <w:r w:rsidRPr="009E4F52">
              <w:rPr>
                <w:noProof/>
                <w:webHidden/>
              </w:rPr>
              <w:tab/>
            </w:r>
            <w:r w:rsidRPr="009E4F52">
              <w:rPr>
                <w:noProof/>
                <w:webHidden/>
              </w:rPr>
              <w:fldChar w:fldCharType="begin"/>
            </w:r>
            <w:r w:rsidRPr="009E4F52">
              <w:rPr>
                <w:noProof/>
                <w:webHidden/>
              </w:rPr>
              <w:instrText xml:space="preserve"> PAGEREF _Toc69303807 \h </w:instrText>
            </w:r>
            <w:r w:rsidRPr="009E4F52">
              <w:rPr>
                <w:noProof/>
                <w:webHidden/>
              </w:rPr>
            </w:r>
            <w:r w:rsidRPr="009E4F52">
              <w:rPr>
                <w:noProof/>
                <w:webHidden/>
              </w:rPr>
              <w:fldChar w:fldCharType="separate"/>
            </w:r>
            <w:r w:rsidRPr="009E4F52">
              <w:rPr>
                <w:noProof/>
                <w:webHidden/>
              </w:rPr>
              <w:t>17</w:t>
            </w:r>
            <w:r w:rsidRPr="009E4F52">
              <w:rPr>
                <w:noProof/>
                <w:webHidden/>
              </w:rPr>
              <w:fldChar w:fldCharType="end"/>
            </w:r>
          </w:hyperlink>
        </w:p>
        <w:p w14:paraId="7B393E29" w14:textId="14F7AA30" w:rsidR="009E4F52" w:rsidRPr="009E4F52" w:rsidRDefault="009E4F52">
          <w:pPr>
            <w:pStyle w:val="TM2"/>
            <w:tabs>
              <w:tab w:val="right" w:leader="dot" w:pos="9345"/>
            </w:tabs>
            <w:rPr>
              <w:rFonts w:asciiTheme="minorHAnsi" w:eastAsiaTheme="minorEastAsia" w:hAnsiTheme="minorHAnsi" w:cstheme="minorBidi"/>
              <w:noProof/>
              <w:sz w:val="22"/>
              <w:szCs w:val="22"/>
            </w:rPr>
          </w:pPr>
          <w:hyperlink w:anchor="_Toc69303808" w:history="1">
            <w:r w:rsidRPr="009E4F52">
              <w:rPr>
                <w:rStyle w:val="Lienhypertexte"/>
                <w:rFonts w:cs="Arial"/>
                <w:noProof/>
              </w:rPr>
              <w:t>Article 4 – Date d’entrée en vigueur et durée du CPOM</w:t>
            </w:r>
            <w:r w:rsidRPr="009E4F52">
              <w:rPr>
                <w:noProof/>
                <w:webHidden/>
              </w:rPr>
              <w:tab/>
            </w:r>
            <w:r w:rsidRPr="009E4F52">
              <w:rPr>
                <w:noProof/>
                <w:webHidden/>
              </w:rPr>
              <w:fldChar w:fldCharType="begin"/>
            </w:r>
            <w:r w:rsidRPr="009E4F52">
              <w:rPr>
                <w:noProof/>
                <w:webHidden/>
              </w:rPr>
              <w:instrText xml:space="preserve"> PAGEREF _Toc69303808 \h </w:instrText>
            </w:r>
            <w:r w:rsidRPr="009E4F52">
              <w:rPr>
                <w:noProof/>
                <w:webHidden/>
              </w:rPr>
            </w:r>
            <w:r w:rsidRPr="009E4F52">
              <w:rPr>
                <w:noProof/>
                <w:webHidden/>
              </w:rPr>
              <w:fldChar w:fldCharType="separate"/>
            </w:r>
            <w:r w:rsidRPr="009E4F52">
              <w:rPr>
                <w:noProof/>
                <w:webHidden/>
              </w:rPr>
              <w:t>17</w:t>
            </w:r>
            <w:r w:rsidRPr="009E4F52">
              <w:rPr>
                <w:noProof/>
                <w:webHidden/>
              </w:rPr>
              <w:fldChar w:fldCharType="end"/>
            </w:r>
          </w:hyperlink>
        </w:p>
        <w:p w14:paraId="5E129BBC" w14:textId="3C9DDB94" w:rsidR="009E4F52" w:rsidRDefault="009E4F52">
          <w:pPr>
            <w:pStyle w:val="TM1"/>
            <w:rPr>
              <w:rFonts w:asciiTheme="minorHAnsi" w:eastAsiaTheme="minorEastAsia" w:hAnsiTheme="minorHAnsi" w:cstheme="minorBidi"/>
              <w:b w:val="0"/>
              <w:bCs w:val="0"/>
              <w:sz w:val="22"/>
              <w:szCs w:val="22"/>
            </w:rPr>
          </w:pPr>
          <w:hyperlink w:anchor="_Toc69303809" w:history="1">
            <w:r w:rsidRPr="000E2A74">
              <w:rPr>
                <w:rStyle w:val="Lienhypertexte"/>
              </w:rPr>
              <w:t xml:space="preserve">  TITRE 3- LISTE DES ANNEXES AU CPOM</w:t>
            </w:r>
            <w:r>
              <w:rPr>
                <w:webHidden/>
              </w:rPr>
              <w:tab/>
            </w:r>
            <w:r>
              <w:rPr>
                <w:webHidden/>
              </w:rPr>
              <w:fldChar w:fldCharType="begin"/>
            </w:r>
            <w:r>
              <w:rPr>
                <w:webHidden/>
              </w:rPr>
              <w:instrText xml:space="preserve"> PAGEREF _Toc69303809 \h </w:instrText>
            </w:r>
            <w:r>
              <w:rPr>
                <w:webHidden/>
              </w:rPr>
            </w:r>
            <w:r>
              <w:rPr>
                <w:webHidden/>
              </w:rPr>
              <w:fldChar w:fldCharType="separate"/>
            </w:r>
            <w:r>
              <w:rPr>
                <w:webHidden/>
              </w:rPr>
              <w:t>18</w:t>
            </w:r>
            <w:r>
              <w:rPr>
                <w:webHidden/>
              </w:rPr>
              <w:fldChar w:fldCharType="end"/>
            </w:r>
          </w:hyperlink>
        </w:p>
        <w:p w14:paraId="0AED6A6B" w14:textId="55DC4A92" w:rsidR="009E4F52" w:rsidRPr="009E4F52" w:rsidRDefault="009E4F52">
          <w:pPr>
            <w:pStyle w:val="TM2"/>
            <w:tabs>
              <w:tab w:val="right" w:leader="dot" w:pos="9345"/>
            </w:tabs>
            <w:rPr>
              <w:rFonts w:asciiTheme="minorHAnsi" w:eastAsiaTheme="minorEastAsia" w:hAnsiTheme="minorHAnsi" w:cstheme="minorBidi"/>
              <w:noProof/>
              <w:sz w:val="22"/>
              <w:szCs w:val="22"/>
            </w:rPr>
          </w:pPr>
          <w:hyperlink w:anchor="_Toc69303810" w:history="1">
            <w:r w:rsidRPr="009E4F52">
              <w:rPr>
                <w:rStyle w:val="Lienhypertexte"/>
                <w:rFonts w:cs="Arial"/>
                <w:noProof/>
              </w:rPr>
              <w:t>Annexe 1 : Fiche d’identification présentant les caractéristiques du gestionnaire et/ou des ESMS entrant dans le périmètre du contrat</w:t>
            </w:r>
            <w:r w:rsidRPr="009E4F52">
              <w:rPr>
                <w:noProof/>
                <w:webHidden/>
              </w:rPr>
              <w:tab/>
            </w:r>
            <w:r w:rsidRPr="009E4F52">
              <w:rPr>
                <w:noProof/>
                <w:webHidden/>
              </w:rPr>
              <w:fldChar w:fldCharType="begin"/>
            </w:r>
            <w:r w:rsidRPr="009E4F52">
              <w:rPr>
                <w:noProof/>
                <w:webHidden/>
              </w:rPr>
              <w:instrText xml:space="preserve"> PAGEREF _Toc69303810 \h </w:instrText>
            </w:r>
            <w:r w:rsidRPr="009E4F52">
              <w:rPr>
                <w:noProof/>
                <w:webHidden/>
              </w:rPr>
            </w:r>
            <w:r w:rsidRPr="009E4F52">
              <w:rPr>
                <w:noProof/>
                <w:webHidden/>
              </w:rPr>
              <w:fldChar w:fldCharType="separate"/>
            </w:r>
            <w:r w:rsidRPr="009E4F52">
              <w:rPr>
                <w:noProof/>
                <w:webHidden/>
              </w:rPr>
              <w:t>19</w:t>
            </w:r>
            <w:r w:rsidRPr="009E4F52">
              <w:rPr>
                <w:noProof/>
                <w:webHidden/>
              </w:rPr>
              <w:fldChar w:fldCharType="end"/>
            </w:r>
          </w:hyperlink>
        </w:p>
        <w:p w14:paraId="51184CA8" w14:textId="02CBB53E" w:rsidR="009E4F52" w:rsidRPr="009E4F52" w:rsidRDefault="009E4F52">
          <w:pPr>
            <w:pStyle w:val="TM2"/>
            <w:tabs>
              <w:tab w:val="right" w:leader="dot" w:pos="9345"/>
            </w:tabs>
            <w:rPr>
              <w:rFonts w:asciiTheme="minorHAnsi" w:eastAsiaTheme="minorEastAsia" w:hAnsiTheme="minorHAnsi" w:cstheme="minorBidi"/>
              <w:noProof/>
              <w:sz w:val="22"/>
              <w:szCs w:val="22"/>
            </w:rPr>
          </w:pPr>
          <w:hyperlink w:anchor="_Toc69303811" w:history="1">
            <w:r w:rsidRPr="009E4F52">
              <w:rPr>
                <w:rStyle w:val="Lienhypertexte"/>
                <w:rFonts w:cs="Arial"/>
                <w:noProof/>
              </w:rPr>
              <w:t>Annexe 2 : Diagnostic partagé</w:t>
            </w:r>
            <w:r w:rsidRPr="009E4F52">
              <w:rPr>
                <w:noProof/>
                <w:webHidden/>
              </w:rPr>
              <w:tab/>
            </w:r>
            <w:r w:rsidRPr="009E4F52">
              <w:rPr>
                <w:noProof/>
                <w:webHidden/>
              </w:rPr>
              <w:fldChar w:fldCharType="begin"/>
            </w:r>
            <w:r w:rsidRPr="009E4F52">
              <w:rPr>
                <w:noProof/>
                <w:webHidden/>
              </w:rPr>
              <w:instrText xml:space="preserve"> PAGEREF _Toc69303811 \h </w:instrText>
            </w:r>
            <w:r w:rsidRPr="009E4F52">
              <w:rPr>
                <w:noProof/>
                <w:webHidden/>
              </w:rPr>
            </w:r>
            <w:r w:rsidRPr="009E4F52">
              <w:rPr>
                <w:noProof/>
                <w:webHidden/>
              </w:rPr>
              <w:fldChar w:fldCharType="separate"/>
            </w:r>
            <w:r w:rsidRPr="009E4F52">
              <w:rPr>
                <w:noProof/>
                <w:webHidden/>
              </w:rPr>
              <w:t>19</w:t>
            </w:r>
            <w:r w:rsidRPr="009E4F52">
              <w:rPr>
                <w:noProof/>
                <w:webHidden/>
              </w:rPr>
              <w:fldChar w:fldCharType="end"/>
            </w:r>
          </w:hyperlink>
        </w:p>
        <w:p w14:paraId="2C41B54E" w14:textId="347BB009" w:rsidR="009E4F52" w:rsidRPr="009E4F52" w:rsidRDefault="009E4F52">
          <w:pPr>
            <w:pStyle w:val="TM2"/>
            <w:tabs>
              <w:tab w:val="right" w:leader="dot" w:pos="9345"/>
            </w:tabs>
            <w:rPr>
              <w:rFonts w:asciiTheme="minorHAnsi" w:eastAsiaTheme="minorEastAsia" w:hAnsiTheme="minorHAnsi" w:cstheme="minorBidi"/>
              <w:noProof/>
              <w:sz w:val="22"/>
              <w:szCs w:val="22"/>
            </w:rPr>
          </w:pPr>
          <w:hyperlink w:anchor="_Toc69303812" w:history="1">
            <w:r w:rsidRPr="009E4F52">
              <w:rPr>
                <w:rStyle w:val="Lienhypertexte"/>
                <w:rFonts w:cs="Arial"/>
                <w:noProof/>
              </w:rPr>
              <w:t>Annexe 3 : Synthèse et objectifs</w:t>
            </w:r>
            <w:r w:rsidRPr="009E4F52">
              <w:rPr>
                <w:noProof/>
                <w:webHidden/>
              </w:rPr>
              <w:tab/>
            </w:r>
            <w:r w:rsidRPr="009E4F52">
              <w:rPr>
                <w:noProof/>
                <w:webHidden/>
              </w:rPr>
              <w:fldChar w:fldCharType="begin"/>
            </w:r>
            <w:r w:rsidRPr="009E4F52">
              <w:rPr>
                <w:noProof/>
                <w:webHidden/>
              </w:rPr>
              <w:instrText xml:space="preserve"> PAGEREF _Toc69303812 \h </w:instrText>
            </w:r>
            <w:r w:rsidRPr="009E4F52">
              <w:rPr>
                <w:noProof/>
                <w:webHidden/>
              </w:rPr>
            </w:r>
            <w:r w:rsidRPr="009E4F52">
              <w:rPr>
                <w:noProof/>
                <w:webHidden/>
              </w:rPr>
              <w:fldChar w:fldCharType="separate"/>
            </w:r>
            <w:r w:rsidRPr="009E4F52">
              <w:rPr>
                <w:noProof/>
                <w:webHidden/>
              </w:rPr>
              <w:t>19</w:t>
            </w:r>
            <w:r w:rsidRPr="009E4F52">
              <w:rPr>
                <w:noProof/>
                <w:webHidden/>
              </w:rPr>
              <w:fldChar w:fldCharType="end"/>
            </w:r>
          </w:hyperlink>
        </w:p>
        <w:p w14:paraId="6FD536DE" w14:textId="29D26D6A" w:rsidR="009E4F52" w:rsidRPr="009E4F52" w:rsidRDefault="009E4F52">
          <w:pPr>
            <w:pStyle w:val="TM2"/>
            <w:tabs>
              <w:tab w:val="right" w:leader="dot" w:pos="9345"/>
            </w:tabs>
            <w:rPr>
              <w:rFonts w:asciiTheme="minorHAnsi" w:eastAsiaTheme="minorEastAsia" w:hAnsiTheme="minorHAnsi" w:cstheme="minorBidi"/>
              <w:noProof/>
              <w:sz w:val="22"/>
              <w:szCs w:val="22"/>
            </w:rPr>
          </w:pPr>
          <w:hyperlink w:anchor="_Toc69303813" w:history="1">
            <w:r w:rsidRPr="009E4F52">
              <w:rPr>
                <w:rStyle w:val="Lienhypertexte"/>
                <w:rFonts w:cs="Arial"/>
                <w:noProof/>
              </w:rPr>
              <w:t>Annexe 4 : Fiche actions</w:t>
            </w:r>
            <w:r w:rsidRPr="009E4F52">
              <w:rPr>
                <w:noProof/>
                <w:webHidden/>
              </w:rPr>
              <w:tab/>
            </w:r>
            <w:r w:rsidRPr="009E4F52">
              <w:rPr>
                <w:noProof/>
                <w:webHidden/>
              </w:rPr>
              <w:fldChar w:fldCharType="begin"/>
            </w:r>
            <w:r w:rsidRPr="009E4F52">
              <w:rPr>
                <w:noProof/>
                <w:webHidden/>
              </w:rPr>
              <w:instrText xml:space="preserve"> PAGEREF _Toc69303813 \h </w:instrText>
            </w:r>
            <w:r w:rsidRPr="009E4F52">
              <w:rPr>
                <w:noProof/>
                <w:webHidden/>
              </w:rPr>
            </w:r>
            <w:r w:rsidRPr="009E4F52">
              <w:rPr>
                <w:noProof/>
                <w:webHidden/>
              </w:rPr>
              <w:fldChar w:fldCharType="separate"/>
            </w:r>
            <w:r w:rsidRPr="009E4F52">
              <w:rPr>
                <w:noProof/>
                <w:webHidden/>
              </w:rPr>
              <w:t>19</w:t>
            </w:r>
            <w:r w:rsidRPr="009E4F52">
              <w:rPr>
                <w:noProof/>
                <w:webHidden/>
              </w:rPr>
              <w:fldChar w:fldCharType="end"/>
            </w:r>
          </w:hyperlink>
        </w:p>
        <w:p w14:paraId="61A6D211" w14:textId="610044C1" w:rsidR="009E4F52" w:rsidRPr="009E4F52" w:rsidRDefault="009E4F52">
          <w:pPr>
            <w:pStyle w:val="TM2"/>
            <w:tabs>
              <w:tab w:val="right" w:leader="dot" w:pos="9345"/>
            </w:tabs>
            <w:rPr>
              <w:rFonts w:asciiTheme="minorHAnsi" w:eastAsiaTheme="minorEastAsia" w:hAnsiTheme="minorHAnsi" w:cstheme="minorBidi"/>
              <w:noProof/>
              <w:sz w:val="22"/>
              <w:szCs w:val="22"/>
            </w:rPr>
          </w:pPr>
          <w:hyperlink w:anchor="_Toc69303814" w:history="1">
            <w:r w:rsidRPr="009E4F52">
              <w:rPr>
                <w:rStyle w:val="Lienhypertexte"/>
                <w:rFonts w:cs="Arial"/>
                <w:noProof/>
              </w:rPr>
              <w:t>Annexe 5 : Plan Global de Financement Pluriannuel (PGFP) et Plan Pluriannuel d’Investissement (PPI)</w:t>
            </w:r>
            <w:r w:rsidRPr="009E4F52">
              <w:rPr>
                <w:noProof/>
                <w:webHidden/>
              </w:rPr>
              <w:tab/>
            </w:r>
            <w:r w:rsidRPr="009E4F52">
              <w:rPr>
                <w:noProof/>
                <w:webHidden/>
              </w:rPr>
              <w:fldChar w:fldCharType="begin"/>
            </w:r>
            <w:r w:rsidRPr="009E4F52">
              <w:rPr>
                <w:noProof/>
                <w:webHidden/>
              </w:rPr>
              <w:instrText xml:space="preserve"> PAGEREF _Toc69303814 \h </w:instrText>
            </w:r>
            <w:r w:rsidRPr="009E4F52">
              <w:rPr>
                <w:noProof/>
                <w:webHidden/>
              </w:rPr>
            </w:r>
            <w:r w:rsidRPr="009E4F52">
              <w:rPr>
                <w:noProof/>
                <w:webHidden/>
              </w:rPr>
              <w:fldChar w:fldCharType="separate"/>
            </w:r>
            <w:r w:rsidRPr="009E4F52">
              <w:rPr>
                <w:noProof/>
                <w:webHidden/>
              </w:rPr>
              <w:t>19</w:t>
            </w:r>
            <w:r w:rsidRPr="009E4F52">
              <w:rPr>
                <w:noProof/>
                <w:webHidden/>
              </w:rPr>
              <w:fldChar w:fldCharType="end"/>
            </w:r>
          </w:hyperlink>
        </w:p>
        <w:p w14:paraId="57D5B3E9" w14:textId="3ED37E8B" w:rsidR="009E4F52" w:rsidRPr="009E4F52" w:rsidRDefault="009E4F52">
          <w:pPr>
            <w:pStyle w:val="TM2"/>
            <w:tabs>
              <w:tab w:val="right" w:leader="dot" w:pos="9345"/>
            </w:tabs>
            <w:rPr>
              <w:rFonts w:asciiTheme="minorHAnsi" w:eastAsiaTheme="minorEastAsia" w:hAnsiTheme="minorHAnsi" w:cstheme="minorBidi"/>
              <w:noProof/>
              <w:sz w:val="22"/>
              <w:szCs w:val="22"/>
            </w:rPr>
          </w:pPr>
          <w:hyperlink w:anchor="_Toc69303815" w:history="1">
            <w:r w:rsidRPr="009E4F52">
              <w:rPr>
                <w:rStyle w:val="Lienhypertexte"/>
                <w:rFonts w:cs="Arial"/>
                <w:noProof/>
              </w:rPr>
              <w:t>Annexe 6 : Plan de Retour à l’Equilibre</w:t>
            </w:r>
            <w:r w:rsidRPr="009E4F52">
              <w:rPr>
                <w:noProof/>
                <w:webHidden/>
              </w:rPr>
              <w:tab/>
            </w:r>
            <w:r w:rsidRPr="009E4F52">
              <w:rPr>
                <w:noProof/>
                <w:webHidden/>
              </w:rPr>
              <w:fldChar w:fldCharType="begin"/>
            </w:r>
            <w:r w:rsidRPr="009E4F52">
              <w:rPr>
                <w:noProof/>
                <w:webHidden/>
              </w:rPr>
              <w:instrText xml:space="preserve"> PAGEREF _Toc69303815 \h </w:instrText>
            </w:r>
            <w:r w:rsidRPr="009E4F52">
              <w:rPr>
                <w:noProof/>
                <w:webHidden/>
              </w:rPr>
            </w:r>
            <w:r w:rsidRPr="009E4F52">
              <w:rPr>
                <w:noProof/>
                <w:webHidden/>
              </w:rPr>
              <w:fldChar w:fldCharType="separate"/>
            </w:r>
            <w:r w:rsidRPr="009E4F52">
              <w:rPr>
                <w:noProof/>
                <w:webHidden/>
              </w:rPr>
              <w:t>19</w:t>
            </w:r>
            <w:r w:rsidRPr="009E4F52">
              <w:rPr>
                <w:noProof/>
                <w:webHidden/>
              </w:rPr>
              <w:fldChar w:fldCharType="end"/>
            </w:r>
          </w:hyperlink>
        </w:p>
        <w:p w14:paraId="3C63D467" w14:textId="21E0F330" w:rsidR="009E4F52" w:rsidRPr="009E4F52" w:rsidRDefault="009E4F52">
          <w:pPr>
            <w:pStyle w:val="TM2"/>
            <w:tabs>
              <w:tab w:val="right" w:leader="dot" w:pos="9345"/>
            </w:tabs>
            <w:rPr>
              <w:rFonts w:asciiTheme="minorHAnsi" w:eastAsiaTheme="minorEastAsia" w:hAnsiTheme="minorHAnsi" w:cstheme="minorBidi"/>
              <w:noProof/>
              <w:sz w:val="22"/>
              <w:szCs w:val="22"/>
            </w:rPr>
          </w:pPr>
          <w:hyperlink w:anchor="_Toc69303816" w:history="1">
            <w:r w:rsidRPr="009E4F52">
              <w:rPr>
                <w:rStyle w:val="Lienhypertexte"/>
                <w:rFonts w:cs="Arial"/>
                <w:noProof/>
              </w:rPr>
              <w:t>Annexe 7 : Convention d’habilitation à l’aide sociale territoriale</w:t>
            </w:r>
            <w:r w:rsidRPr="009E4F52">
              <w:rPr>
                <w:noProof/>
                <w:webHidden/>
              </w:rPr>
              <w:tab/>
            </w:r>
            <w:r w:rsidRPr="009E4F52">
              <w:rPr>
                <w:noProof/>
                <w:webHidden/>
              </w:rPr>
              <w:fldChar w:fldCharType="begin"/>
            </w:r>
            <w:r w:rsidRPr="009E4F52">
              <w:rPr>
                <w:noProof/>
                <w:webHidden/>
              </w:rPr>
              <w:instrText xml:space="preserve"> PAGEREF _Toc69303816 \h </w:instrText>
            </w:r>
            <w:r w:rsidRPr="009E4F52">
              <w:rPr>
                <w:noProof/>
                <w:webHidden/>
              </w:rPr>
            </w:r>
            <w:r w:rsidRPr="009E4F52">
              <w:rPr>
                <w:noProof/>
                <w:webHidden/>
              </w:rPr>
              <w:fldChar w:fldCharType="separate"/>
            </w:r>
            <w:r w:rsidRPr="009E4F52">
              <w:rPr>
                <w:noProof/>
                <w:webHidden/>
              </w:rPr>
              <w:t>19</w:t>
            </w:r>
            <w:r w:rsidRPr="009E4F52">
              <w:rPr>
                <w:noProof/>
                <w:webHidden/>
              </w:rPr>
              <w:fldChar w:fldCharType="end"/>
            </w:r>
          </w:hyperlink>
        </w:p>
        <w:p w14:paraId="5CD83654" w14:textId="1CDB1366" w:rsidR="009E4F52" w:rsidRPr="009E4F52" w:rsidRDefault="009E4F52">
          <w:pPr>
            <w:pStyle w:val="TM2"/>
            <w:tabs>
              <w:tab w:val="right" w:leader="dot" w:pos="9345"/>
            </w:tabs>
            <w:rPr>
              <w:rFonts w:asciiTheme="minorHAnsi" w:eastAsiaTheme="minorEastAsia" w:hAnsiTheme="minorHAnsi" w:cstheme="minorBidi"/>
              <w:noProof/>
              <w:sz w:val="22"/>
              <w:szCs w:val="22"/>
            </w:rPr>
          </w:pPr>
          <w:hyperlink w:anchor="_Toc69303817" w:history="1">
            <w:r w:rsidRPr="009E4F52">
              <w:rPr>
                <w:rStyle w:val="Lienhypertexte"/>
                <w:rFonts w:cs="Arial"/>
                <w:noProof/>
              </w:rPr>
              <w:t>Annexe 8 : Arrêté portant autorisation des frais de siège OG</w:t>
            </w:r>
            <w:r w:rsidRPr="009E4F52">
              <w:rPr>
                <w:noProof/>
                <w:webHidden/>
              </w:rPr>
              <w:tab/>
            </w:r>
            <w:r w:rsidRPr="009E4F52">
              <w:rPr>
                <w:noProof/>
                <w:webHidden/>
              </w:rPr>
              <w:fldChar w:fldCharType="begin"/>
            </w:r>
            <w:r w:rsidRPr="009E4F52">
              <w:rPr>
                <w:noProof/>
                <w:webHidden/>
              </w:rPr>
              <w:instrText xml:space="preserve"> PAGEREF _Toc69303817 \h </w:instrText>
            </w:r>
            <w:r w:rsidRPr="009E4F52">
              <w:rPr>
                <w:noProof/>
                <w:webHidden/>
              </w:rPr>
            </w:r>
            <w:r w:rsidRPr="009E4F52">
              <w:rPr>
                <w:noProof/>
                <w:webHidden/>
              </w:rPr>
              <w:fldChar w:fldCharType="separate"/>
            </w:r>
            <w:r w:rsidRPr="009E4F52">
              <w:rPr>
                <w:noProof/>
                <w:webHidden/>
              </w:rPr>
              <w:t>19</w:t>
            </w:r>
            <w:r w:rsidRPr="009E4F52">
              <w:rPr>
                <w:noProof/>
                <w:webHidden/>
              </w:rPr>
              <w:fldChar w:fldCharType="end"/>
            </w:r>
          </w:hyperlink>
        </w:p>
        <w:p w14:paraId="6DA91638" w14:textId="1C1BFD54" w:rsidR="009E4F52" w:rsidRPr="009E4F52" w:rsidRDefault="009E4F52">
          <w:pPr>
            <w:pStyle w:val="TM2"/>
            <w:tabs>
              <w:tab w:val="right" w:leader="dot" w:pos="9345"/>
            </w:tabs>
            <w:rPr>
              <w:rFonts w:asciiTheme="minorHAnsi" w:eastAsiaTheme="minorEastAsia" w:hAnsiTheme="minorHAnsi" w:cstheme="minorBidi"/>
              <w:noProof/>
              <w:sz w:val="22"/>
              <w:szCs w:val="22"/>
            </w:rPr>
          </w:pPr>
          <w:hyperlink w:anchor="_Toc69303818" w:history="1">
            <w:r w:rsidRPr="009E4F52">
              <w:rPr>
                <w:rStyle w:val="Lienhypertexte"/>
                <w:rFonts w:cs="Arial"/>
                <w:noProof/>
              </w:rPr>
              <w:t>Annexe 9 : Eléments de contrats ou convention liant le gestionnaire à d’autres autorités publiques ayant un impact sur la réalisation du CPOM</w:t>
            </w:r>
            <w:r w:rsidRPr="009E4F52">
              <w:rPr>
                <w:noProof/>
                <w:webHidden/>
              </w:rPr>
              <w:tab/>
            </w:r>
            <w:r w:rsidRPr="009E4F52">
              <w:rPr>
                <w:noProof/>
                <w:webHidden/>
              </w:rPr>
              <w:fldChar w:fldCharType="begin"/>
            </w:r>
            <w:r w:rsidRPr="009E4F52">
              <w:rPr>
                <w:noProof/>
                <w:webHidden/>
              </w:rPr>
              <w:instrText xml:space="preserve"> PAGEREF _Toc69303818 \h </w:instrText>
            </w:r>
            <w:r w:rsidRPr="009E4F52">
              <w:rPr>
                <w:noProof/>
                <w:webHidden/>
              </w:rPr>
            </w:r>
            <w:r w:rsidRPr="009E4F52">
              <w:rPr>
                <w:noProof/>
                <w:webHidden/>
              </w:rPr>
              <w:fldChar w:fldCharType="separate"/>
            </w:r>
            <w:r w:rsidRPr="009E4F52">
              <w:rPr>
                <w:noProof/>
                <w:webHidden/>
              </w:rPr>
              <w:t>19</w:t>
            </w:r>
            <w:r w:rsidRPr="009E4F52">
              <w:rPr>
                <w:noProof/>
                <w:webHidden/>
              </w:rPr>
              <w:fldChar w:fldCharType="end"/>
            </w:r>
          </w:hyperlink>
        </w:p>
        <w:p w14:paraId="30DBFF7C" w14:textId="0AC65D28" w:rsidR="00B74843" w:rsidRPr="00473B51" w:rsidRDefault="00B74843">
          <w:pPr>
            <w:rPr>
              <w:rFonts w:cs="Arial"/>
            </w:rPr>
          </w:pPr>
          <w:r w:rsidRPr="00473B51">
            <w:rPr>
              <w:rFonts w:cs="Arial"/>
              <w:b/>
              <w:bCs/>
            </w:rPr>
            <w:fldChar w:fldCharType="end"/>
          </w:r>
        </w:p>
      </w:sdtContent>
    </w:sdt>
    <w:p w14:paraId="1D019600" w14:textId="77777777" w:rsidR="00943A7A" w:rsidRPr="00473B51" w:rsidRDefault="00943A7A" w:rsidP="00943A7A">
      <w:pPr>
        <w:rPr>
          <w:rFonts w:cs="Arial"/>
        </w:rPr>
      </w:pPr>
    </w:p>
    <w:p w14:paraId="6949B7F2" w14:textId="77777777" w:rsidR="00A100BA" w:rsidRPr="00473B51" w:rsidRDefault="00A100BA" w:rsidP="00860F13">
      <w:pPr>
        <w:keepLines w:val="0"/>
        <w:rPr>
          <w:rFonts w:eastAsiaTheme="majorEastAsia" w:cs="Arial"/>
          <w:i/>
          <w:iCs/>
          <w:color w:val="323E4F" w:themeColor="text2" w:themeShade="BF"/>
          <w:spacing w:val="5"/>
          <w:kern w:val="28"/>
          <w:sz w:val="48"/>
          <w:szCs w:val="52"/>
        </w:rPr>
        <w:sectPr w:rsidR="00A100BA" w:rsidRPr="00473B51" w:rsidSect="00727DAD">
          <w:footerReference w:type="default" r:id="rId9"/>
          <w:headerReference w:type="first" r:id="rId10"/>
          <w:footerReference w:type="first" r:id="rId11"/>
          <w:pgSz w:w="11906" w:h="16838" w:code="9"/>
          <w:pgMar w:top="1418" w:right="1418" w:bottom="1418" w:left="1133" w:header="567" w:footer="283" w:gutter="0"/>
          <w:cols w:space="708"/>
          <w:titlePg/>
          <w:docGrid w:linePitch="360"/>
        </w:sectPr>
      </w:pPr>
    </w:p>
    <w:p w14:paraId="3B99195F" w14:textId="77777777" w:rsidR="00860F13" w:rsidRPr="003D3D43" w:rsidRDefault="00860F13" w:rsidP="003D3D43">
      <w:pPr>
        <w:pStyle w:val="Titre"/>
        <w:jc w:val="both"/>
        <w:rPr>
          <w:rFonts w:ascii="Arial" w:hAnsi="Arial" w:cs="Arial"/>
          <w:b/>
          <w:bCs/>
          <w:color w:val="2F5496" w:themeColor="accent1" w:themeShade="BF"/>
          <w:sz w:val="28"/>
          <w:szCs w:val="28"/>
        </w:rPr>
      </w:pPr>
      <w:bookmarkStart w:id="0" w:name="_heading=h.30j0zll" w:colFirst="0" w:colLast="0"/>
      <w:bookmarkEnd w:id="0"/>
      <w:r w:rsidRPr="003D3D43">
        <w:rPr>
          <w:rFonts w:ascii="Arial" w:hAnsi="Arial" w:cs="Arial"/>
          <w:b/>
          <w:bCs/>
          <w:color w:val="2F5496" w:themeColor="accent1" w:themeShade="BF"/>
          <w:sz w:val="28"/>
          <w:szCs w:val="28"/>
        </w:rPr>
        <w:lastRenderedPageBreak/>
        <w:t>CONTRAT PLURIANNUEL D’OBJECTIFS ET DE MOYENS (CPOM)</w:t>
      </w:r>
    </w:p>
    <w:p w14:paraId="7B6F1F49" w14:textId="77777777" w:rsidR="00860F13" w:rsidRPr="003D3D43" w:rsidRDefault="00860F13" w:rsidP="003D3D43">
      <w:pPr>
        <w:keepLines w:val="0"/>
        <w:ind w:right="-333"/>
        <w:jc w:val="both"/>
        <w:rPr>
          <w:rFonts w:cs="Arial"/>
        </w:rPr>
      </w:pPr>
      <w:bookmarkStart w:id="1" w:name="_heading=h.1fob9te" w:colFirst="0" w:colLast="0"/>
      <w:bookmarkEnd w:id="1"/>
      <w:r w:rsidRPr="003D3D43">
        <w:rPr>
          <w:rFonts w:cs="Arial"/>
        </w:rPr>
        <w:t>Le présent Contrat Pluriannuel d’Objectifs et de Moyens est conclu entre :</w:t>
      </w:r>
    </w:p>
    <w:p w14:paraId="71103930" w14:textId="0F5D421E" w:rsidR="00860F13" w:rsidRPr="003D3D43" w:rsidRDefault="00860F13" w:rsidP="003D3D43">
      <w:pPr>
        <w:keepLines w:val="0"/>
        <w:jc w:val="both"/>
        <w:rPr>
          <w:rFonts w:cs="Arial"/>
        </w:rPr>
      </w:pPr>
    </w:p>
    <w:p w14:paraId="7121CB8F" w14:textId="265101D1" w:rsidR="00860F13" w:rsidRPr="003D3D43" w:rsidRDefault="00860F13" w:rsidP="00E377EE">
      <w:pPr>
        <w:keepLines w:val="0"/>
        <w:numPr>
          <w:ilvl w:val="0"/>
          <w:numId w:val="5"/>
        </w:numPr>
        <w:rPr>
          <w:rFonts w:cs="Arial"/>
        </w:rPr>
      </w:pPr>
      <w:r w:rsidRPr="003D3D43">
        <w:rPr>
          <w:rFonts w:cs="Arial"/>
          <w:b/>
        </w:rPr>
        <w:t>D’une part,</w:t>
      </w:r>
      <w:r w:rsidRPr="003D3D43">
        <w:rPr>
          <w:rFonts w:cs="Arial"/>
        </w:rPr>
        <w:t xml:space="preserve"> les autorités suivantes ayant délivrées le(s) autorisation(s) d’activités couvertes par le CPOM :</w:t>
      </w:r>
      <w:r w:rsidRPr="003D3D43">
        <w:rPr>
          <w:rFonts w:cs="Arial"/>
        </w:rPr>
        <w:br/>
      </w:r>
    </w:p>
    <w:p w14:paraId="388B17B9" w14:textId="76AC5B6D" w:rsidR="00860F13" w:rsidRPr="003D3D43" w:rsidRDefault="00860F13" w:rsidP="00A33994">
      <w:pPr>
        <w:pStyle w:val="Paragraphedeliste"/>
        <w:keepLines w:val="0"/>
        <w:numPr>
          <w:ilvl w:val="0"/>
          <w:numId w:val="37"/>
        </w:numPr>
        <w:jc w:val="both"/>
        <w:rPr>
          <w:rFonts w:cs="Arial"/>
        </w:rPr>
      </w:pPr>
      <w:r w:rsidRPr="003D3D43">
        <w:rPr>
          <w:rFonts w:cs="Arial"/>
        </w:rPr>
        <w:t>L’Agence Régionale de Santé de la région Corse, représentée par Marie-Hélène LECENNE Directrice générale ;</w:t>
      </w:r>
    </w:p>
    <w:p w14:paraId="4D3C622D" w14:textId="77777777" w:rsidR="001157E8" w:rsidRPr="003D3D43" w:rsidRDefault="001157E8" w:rsidP="003D3D43">
      <w:pPr>
        <w:pStyle w:val="Paragraphedeliste"/>
        <w:keepLines w:val="0"/>
        <w:ind w:left="1080"/>
        <w:jc w:val="both"/>
        <w:rPr>
          <w:rFonts w:cs="Arial"/>
        </w:rPr>
      </w:pPr>
    </w:p>
    <w:p w14:paraId="1B050E70" w14:textId="44A36482" w:rsidR="00BE2532" w:rsidRPr="003D3D43" w:rsidRDefault="00BE2532" w:rsidP="00A33994">
      <w:pPr>
        <w:pStyle w:val="Paragraphedeliste"/>
        <w:keepLines w:val="0"/>
        <w:numPr>
          <w:ilvl w:val="0"/>
          <w:numId w:val="37"/>
        </w:numPr>
        <w:jc w:val="both"/>
        <w:rPr>
          <w:rFonts w:cs="Arial"/>
        </w:rPr>
      </w:pPr>
      <w:r w:rsidRPr="003D3D43">
        <w:rPr>
          <w:rFonts w:cs="Arial"/>
        </w:rPr>
        <w:t>La Collectivité de Corse, représentée par Monsieur Gilles SIMEONI, Président du Conseil Exécutif de Corse</w:t>
      </w:r>
      <w:r w:rsidR="001157E8" w:rsidRPr="003D3D43">
        <w:rPr>
          <w:rFonts w:cs="Arial"/>
        </w:rPr>
        <w:t>.</w:t>
      </w:r>
    </w:p>
    <w:p w14:paraId="4B19E7E7" w14:textId="77777777" w:rsidR="00860F13" w:rsidRPr="003D3D43" w:rsidRDefault="00860F13" w:rsidP="003D3D43">
      <w:pPr>
        <w:keepLines w:val="0"/>
        <w:jc w:val="both"/>
        <w:rPr>
          <w:rFonts w:cs="Arial"/>
        </w:rPr>
      </w:pPr>
      <w:r w:rsidRPr="003D3D43">
        <w:rPr>
          <w:rFonts w:cs="Arial"/>
        </w:rPr>
        <w:br/>
      </w:r>
    </w:p>
    <w:p w14:paraId="3BE25EA3" w14:textId="151586E4" w:rsidR="00860F13" w:rsidRPr="003D3D43" w:rsidRDefault="00860F13" w:rsidP="00A33994">
      <w:pPr>
        <w:keepLines w:val="0"/>
        <w:numPr>
          <w:ilvl w:val="0"/>
          <w:numId w:val="6"/>
        </w:numPr>
        <w:ind w:left="644" w:right="-333"/>
        <w:jc w:val="both"/>
        <w:rPr>
          <w:rFonts w:cs="Arial"/>
          <w:color w:val="000000"/>
        </w:rPr>
      </w:pPr>
      <w:r w:rsidRPr="003D3D43">
        <w:rPr>
          <w:rFonts w:cs="Arial"/>
          <w:b/>
          <w:color w:val="000000"/>
        </w:rPr>
        <w:t>D’autre part</w:t>
      </w:r>
      <w:r w:rsidRPr="003D3D43">
        <w:rPr>
          <w:rFonts w:cs="Arial"/>
          <w:color w:val="0070C0"/>
        </w:rPr>
        <w:t xml:space="preserve"> </w:t>
      </w:r>
      <w:r w:rsidRPr="003D3D43">
        <w:rPr>
          <w:rFonts w:cs="Arial"/>
          <w:b/>
          <w:color w:val="0070C0"/>
        </w:rPr>
        <w:t xml:space="preserve">XXXX </w:t>
      </w:r>
      <w:r w:rsidRPr="003D3D43">
        <w:rPr>
          <w:rFonts w:cs="Arial"/>
          <w:bCs/>
        </w:rPr>
        <w:t xml:space="preserve">représenté par </w:t>
      </w:r>
      <w:r w:rsidR="00AE1254" w:rsidRPr="003D3D43">
        <w:rPr>
          <w:rFonts w:cs="Arial"/>
          <w:b/>
          <w:color w:val="0070C0"/>
        </w:rPr>
        <w:t>XXX</w:t>
      </w:r>
    </w:p>
    <w:p w14:paraId="03E1C6B1" w14:textId="079020D0" w:rsidR="00860F13" w:rsidRPr="003D3D43" w:rsidRDefault="00860F13" w:rsidP="003D3D43">
      <w:pPr>
        <w:keepLines w:val="0"/>
        <w:ind w:right="-333"/>
        <w:jc w:val="both"/>
        <w:rPr>
          <w:rFonts w:cs="Arial"/>
          <w:color w:val="000000"/>
        </w:rPr>
      </w:pPr>
    </w:p>
    <w:p w14:paraId="055D57A2" w14:textId="77777777" w:rsidR="00860F13" w:rsidRPr="003D3D43" w:rsidRDefault="00860F13" w:rsidP="003D3D43">
      <w:pPr>
        <w:keepLines w:val="0"/>
        <w:ind w:right="-333"/>
        <w:jc w:val="both"/>
        <w:rPr>
          <w:rFonts w:cs="Arial"/>
          <w:color w:val="000000"/>
        </w:rPr>
      </w:pPr>
    </w:p>
    <w:p w14:paraId="08A1D72B" w14:textId="2065AFE4" w:rsidR="00943A7A" w:rsidRPr="003D3D43" w:rsidRDefault="00943A7A" w:rsidP="003D3D43">
      <w:pPr>
        <w:ind w:right="-333"/>
        <w:jc w:val="both"/>
        <w:rPr>
          <w:rFonts w:cs="Arial"/>
        </w:rPr>
      </w:pPr>
    </w:p>
    <w:p w14:paraId="78198E13" w14:textId="076C5D5A" w:rsidR="00D04487" w:rsidRPr="003D3D43" w:rsidRDefault="00D04487" w:rsidP="003D3D43">
      <w:pPr>
        <w:ind w:right="-333"/>
        <w:jc w:val="both"/>
        <w:rPr>
          <w:rFonts w:cs="Arial"/>
        </w:rPr>
      </w:pPr>
    </w:p>
    <w:p w14:paraId="34309D04" w14:textId="77777777" w:rsidR="00860F13" w:rsidRPr="003D3D43" w:rsidRDefault="00860F13" w:rsidP="003D3D43">
      <w:pPr>
        <w:keepLines w:val="0"/>
        <w:pBdr>
          <w:bottom w:val="single" w:sz="8" w:space="4" w:color="4F81BD"/>
        </w:pBdr>
        <w:spacing w:after="300"/>
        <w:ind w:right="2267"/>
        <w:jc w:val="both"/>
        <w:rPr>
          <w:rFonts w:cs="Arial"/>
        </w:rPr>
      </w:pPr>
      <w:r w:rsidRPr="003D3D43">
        <w:rPr>
          <w:rFonts w:cs="Arial"/>
          <w:b/>
        </w:rPr>
        <w:t xml:space="preserve">VISAS ET </w:t>
      </w:r>
      <w:sdt>
        <w:sdtPr>
          <w:rPr>
            <w:rFonts w:cs="Arial"/>
          </w:rPr>
          <w:tag w:val="goog_rdk_10"/>
          <w:id w:val="-1308465636"/>
        </w:sdtPr>
        <w:sdtContent>
          <w:r w:rsidRPr="003D3D43">
            <w:rPr>
              <w:rFonts w:cs="Arial"/>
              <w:b/>
            </w:rPr>
            <w:t>RÉFÉRENCES</w:t>
          </w:r>
        </w:sdtContent>
      </w:sdt>
      <w:sdt>
        <w:sdtPr>
          <w:rPr>
            <w:rFonts w:cs="Arial"/>
          </w:rPr>
          <w:tag w:val="goog_rdk_11"/>
          <w:id w:val="-1456247490"/>
        </w:sdtPr>
        <w:sdtContent>
          <w:r w:rsidRPr="003D3D43">
            <w:rPr>
              <w:rFonts w:cs="Arial"/>
            </w:rPr>
            <w:t xml:space="preserve"> </w:t>
          </w:r>
        </w:sdtContent>
      </w:sdt>
      <w:r w:rsidRPr="003D3D43">
        <w:rPr>
          <w:rFonts w:cs="Arial"/>
          <w:b/>
        </w:rPr>
        <w:t xml:space="preserve">JURIDIQUES ET </w:t>
      </w:r>
      <w:sdt>
        <w:sdtPr>
          <w:rPr>
            <w:rFonts w:cs="Arial"/>
          </w:rPr>
          <w:tag w:val="goog_rdk_12"/>
          <w:id w:val="991454475"/>
        </w:sdtPr>
        <w:sdtContent>
          <w:r w:rsidRPr="003D3D43">
            <w:rPr>
              <w:rFonts w:cs="Arial"/>
              <w:b/>
            </w:rPr>
            <w:t>RÉGLEMENTAIRES</w:t>
          </w:r>
        </w:sdtContent>
      </w:sdt>
      <w:sdt>
        <w:sdtPr>
          <w:rPr>
            <w:rFonts w:cs="Arial"/>
          </w:rPr>
          <w:tag w:val="goog_rdk_13"/>
          <w:id w:val="-1198472923"/>
          <w:showingPlcHdr/>
        </w:sdtPr>
        <w:sdtContent>
          <w:r w:rsidRPr="003D3D43">
            <w:rPr>
              <w:rFonts w:cs="Arial"/>
            </w:rPr>
            <w:t xml:space="preserve">     </w:t>
          </w:r>
        </w:sdtContent>
      </w:sdt>
    </w:p>
    <w:p w14:paraId="4DAEECE7" w14:textId="77777777" w:rsidR="00C51C2F" w:rsidRPr="003D3D43" w:rsidRDefault="00C51C2F" w:rsidP="003D3D43">
      <w:pPr>
        <w:keepLines w:val="0"/>
        <w:jc w:val="both"/>
        <w:rPr>
          <w:rFonts w:cs="Arial"/>
        </w:rPr>
      </w:pPr>
      <w:r w:rsidRPr="003D3D43">
        <w:rPr>
          <w:rFonts w:cs="Arial"/>
        </w:rPr>
        <w:t>Vu la loi n°2015-1776 du 28 décembre 2015 relative à l’adaptation de la société au vieillissement ;</w:t>
      </w:r>
    </w:p>
    <w:p w14:paraId="0BA82C0F" w14:textId="77777777" w:rsidR="00C51C2F" w:rsidRPr="003D3D43" w:rsidRDefault="00C51C2F" w:rsidP="003D3D43">
      <w:pPr>
        <w:jc w:val="both"/>
        <w:rPr>
          <w:rFonts w:cs="Arial"/>
          <w:bCs/>
        </w:rPr>
      </w:pPr>
    </w:p>
    <w:p w14:paraId="0812B4F8" w14:textId="47700239" w:rsidR="00943A7A" w:rsidRPr="003D3D43" w:rsidRDefault="00943A7A" w:rsidP="003D3D43">
      <w:pPr>
        <w:jc w:val="both"/>
        <w:rPr>
          <w:rFonts w:cs="Arial"/>
          <w:bCs/>
        </w:rPr>
      </w:pPr>
      <w:r w:rsidRPr="003D3D43">
        <w:rPr>
          <w:rFonts w:cs="Arial"/>
          <w:bCs/>
        </w:rPr>
        <w:t>Vu la loi n° 2015-1702 du 21 décembre 2015 de financement de la sécurité sociale pour 2016</w:t>
      </w:r>
      <w:r w:rsidR="00C51C2F" w:rsidRPr="003D3D43">
        <w:rPr>
          <w:rFonts w:cs="Arial"/>
          <w:bCs/>
        </w:rPr>
        <w:t> ;</w:t>
      </w:r>
    </w:p>
    <w:p w14:paraId="50B54012" w14:textId="77777777" w:rsidR="00943A7A" w:rsidRPr="003D3D43" w:rsidRDefault="00943A7A" w:rsidP="003D3D43">
      <w:pPr>
        <w:jc w:val="both"/>
        <w:rPr>
          <w:rFonts w:cs="Arial"/>
        </w:rPr>
      </w:pPr>
    </w:p>
    <w:p w14:paraId="5467D24C" w14:textId="2AF68A54" w:rsidR="00943A7A" w:rsidRPr="003D3D43" w:rsidRDefault="00943A7A" w:rsidP="003D3D43">
      <w:pPr>
        <w:autoSpaceDE w:val="0"/>
        <w:autoSpaceDN w:val="0"/>
        <w:adjustRightInd w:val="0"/>
        <w:jc w:val="both"/>
        <w:rPr>
          <w:rFonts w:cs="Arial"/>
        </w:rPr>
      </w:pPr>
      <w:r w:rsidRPr="003D3D43">
        <w:rPr>
          <w:rFonts w:cs="Arial"/>
        </w:rPr>
        <w:t xml:space="preserve">Vu le code de l’action sociale et des familles </w:t>
      </w:r>
      <w:r w:rsidR="009B0090">
        <w:rPr>
          <w:rFonts w:cs="Arial"/>
        </w:rPr>
        <w:t xml:space="preserve">(CASF) </w:t>
      </w:r>
      <w:r w:rsidRPr="003D3D43">
        <w:rPr>
          <w:rFonts w:cs="Arial"/>
        </w:rPr>
        <w:t>et notamment les articles L. 313-11, L. 313-12 et L.313-12-2 et L.314-2 ;</w:t>
      </w:r>
    </w:p>
    <w:p w14:paraId="2DFB8CB2" w14:textId="77777777" w:rsidR="00943A7A" w:rsidRPr="003D3D43" w:rsidRDefault="00943A7A" w:rsidP="003D3D43">
      <w:pPr>
        <w:autoSpaceDE w:val="0"/>
        <w:autoSpaceDN w:val="0"/>
        <w:adjustRightInd w:val="0"/>
        <w:jc w:val="both"/>
        <w:rPr>
          <w:rFonts w:cs="Arial"/>
        </w:rPr>
      </w:pPr>
    </w:p>
    <w:p w14:paraId="26514F66" w14:textId="2C2FBDA5" w:rsidR="00943A7A" w:rsidRPr="003D3D43" w:rsidRDefault="00943A7A" w:rsidP="003D3D43">
      <w:pPr>
        <w:autoSpaceDE w:val="0"/>
        <w:autoSpaceDN w:val="0"/>
        <w:adjustRightInd w:val="0"/>
        <w:jc w:val="both"/>
        <w:rPr>
          <w:rFonts w:cs="Arial"/>
        </w:rPr>
      </w:pPr>
      <w:r w:rsidRPr="003D3D43">
        <w:rPr>
          <w:rFonts w:cs="Arial"/>
        </w:rPr>
        <w:t>Vu le code général des collectivités territoriales ;</w:t>
      </w:r>
    </w:p>
    <w:p w14:paraId="3E8B1D9C" w14:textId="77777777" w:rsidR="00C51C2F" w:rsidRPr="003D3D43" w:rsidRDefault="00C51C2F" w:rsidP="003D3D43">
      <w:pPr>
        <w:autoSpaceDE w:val="0"/>
        <w:autoSpaceDN w:val="0"/>
        <w:adjustRightInd w:val="0"/>
        <w:jc w:val="both"/>
        <w:rPr>
          <w:rFonts w:cs="Arial"/>
        </w:rPr>
      </w:pPr>
    </w:p>
    <w:p w14:paraId="6B7BDDE0" w14:textId="77777777" w:rsidR="00C51C2F" w:rsidRPr="003D3D43" w:rsidRDefault="00C51C2F" w:rsidP="003D3D43">
      <w:pPr>
        <w:keepLines w:val="0"/>
        <w:jc w:val="both"/>
        <w:rPr>
          <w:rFonts w:cs="Arial"/>
        </w:rPr>
      </w:pPr>
      <w:r w:rsidRPr="003D3D43">
        <w:rPr>
          <w:rFonts w:cs="Arial"/>
        </w:rPr>
        <w:t>Vu le décret n ° 2016-1814 du 21 décembre 2016 relatif aux principes généraux de la tarification au forfait global de soins, au forfait dépendance et aux forfaits journaliers des EHPAD relevant du I et du II de l’article L 313-12 du CASF ;</w:t>
      </w:r>
    </w:p>
    <w:p w14:paraId="09FBCF31" w14:textId="77777777" w:rsidR="00C51C2F" w:rsidRPr="003D3D43" w:rsidRDefault="00C51C2F" w:rsidP="003D3D43">
      <w:pPr>
        <w:keepLines w:val="0"/>
        <w:jc w:val="both"/>
        <w:rPr>
          <w:rFonts w:cs="Arial"/>
        </w:rPr>
      </w:pPr>
    </w:p>
    <w:p w14:paraId="1C48452C" w14:textId="77777777" w:rsidR="00C51C2F" w:rsidRPr="003D3D43" w:rsidRDefault="00C51C2F" w:rsidP="003D3D43">
      <w:pPr>
        <w:keepLines w:val="0"/>
        <w:jc w:val="both"/>
        <w:rPr>
          <w:rFonts w:cs="Arial"/>
        </w:rPr>
      </w:pPr>
      <w:r w:rsidRPr="003D3D43">
        <w:rPr>
          <w:rFonts w:cs="Arial"/>
        </w:rPr>
        <w:t>Vu le décret n ° 2016 – 1815 du 21 décembre 2016 modifiant les dispositions financières applicables aux établissements et services sociaux et médico-sociaux mentionnés au I de l’article L 312-1 du CASF ;</w:t>
      </w:r>
    </w:p>
    <w:p w14:paraId="185FC184" w14:textId="77777777" w:rsidR="00943A7A" w:rsidRPr="003D3D43" w:rsidRDefault="00943A7A" w:rsidP="003D3D43">
      <w:pPr>
        <w:ind w:right="-333"/>
        <w:jc w:val="both"/>
        <w:rPr>
          <w:rFonts w:cs="Arial"/>
        </w:rPr>
      </w:pPr>
    </w:p>
    <w:p w14:paraId="35D119EC" w14:textId="7791B361" w:rsidR="00943A7A" w:rsidRPr="003D3D43" w:rsidRDefault="00943A7A" w:rsidP="003D3D43">
      <w:pPr>
        <w:ind w:right="-333"/>
        <w:jc w:val="both"/>
        <w:rPr>
          <w:rFonts w:cs="Arial"/>
        </w:rPr>
      </w:pPr>
      <w:r w:rsidRPr="003D3D43">
        <w:rPr>
          <w:rFonts w:cs="Arial"/>
        </w:rPr>
        <w:t xml:space="preserve">Vu le Projet Régional de Santé 2018-2023 de l’ARS de Corse et notamment le Schéma Régional </w:t>
      </w:r>
      <w:r w:rsidR="00BE2532" w:rsidRPr="003D3D43">
        <w:rPr>
          <w:rFonts w:cs="Arial"/>
        </w:rPr>
        <w:t>de Santé</w:t>
      </w:r>
      <w:r w:rsidRPr="003D3D43">
        <w:rPr>
          <w:rFonts w:cs="Arial"/>
        </w:rPr>
        <w:t xml:space="preserve"> ;</w:t>
      </w:r>
    </w:p>
    <w:p w14:paraId="31DC3D4A" w14:textId="77777777" w:rsidR="00943A7A" w:rsidRPr="003D3D43" w:rsidRDefault="00943A7A" w:rsidP="003D3D43">
      <w:pPr>
        <w:ind w:right="-333"/>
        <w:jc w:val="both"/>
        <w:rPr>
          <w:rFonts w:cs="Arial"/>
        </w:rPr>
      </w:pPr>
    </w:p>
    <w:p w14:paraId="069CEF56" w14:textId="33F25DFC" w:rsidR="00C51C2F" w:rsidRPr="003D3D43" w:rsidRDefault="00C51C2F" w:rsidP="003D3D43">
      <w:pPr>
        <w:keepLines w:val="0"/>
        <w:jc w:val="both"/>
        <w:rPr>
          <w:rFonts w:cs="Arial"/>
        </w:rPr>
      </w:pPr>
      <w:r w:rsidRPr="003D3D43">
        <w:rPr>
          <w:rFonts w:cs="Arial"/>
        </w:rPr>
        <w:t>Vu l’arrêté conjoint ARS/CE 2019/n°225 du 11 juin 2019 relatif au calendrier prévisionnel 2017-2021 de la signature des Contrats Pluriannuels d’Objectifs et de Moyens (CPOM) des établissements et services médico-sociaux relevant de la compétence conjointe de l’ARS de Corse et de la Collectivité de Corse ;</w:t>
      </w:r>
    </w:p>
    <w:p w14:paraId="40E5D199" w14:textId="30259419" w:rsidR="00943A7A" w:rsidRPr="003D3D43" w:rsidRDefault="00943A7A" w:rsidP="003D3D43">
      <w:pPr>
        <w:ind w:right="-333"/>
        <w:jc w:val="both"/>
        <w:rPr>
          <w:rFonts w:cs="Arial"/>
        </w:rPr>
      </w:pPr>
    </w:p>
    <w:p w14:paraId="5F2214AE" w14:textId="577B4F8F" w:rsidR="00860F13" w:rsidRPr="003D3D43" w:rsidRDefault="00860F13" w:rsidP="003D3D43">
      <w:pPr>
        <w:keepLines w:val="0"/>
        <w:ind w:right="-333"/>
        <w:jc w:val="both"/>
        <w:rPr>
          <w:rFonts w:cs="Arial"/>
        </w:rPr>
      </w:pPr>
      <w:r w:rsidRPr="003D3D43">
        <w:rPr>
          <w:rFonts w:cs="Arial"/>
        </w:rPr>
        <w:t xml:space="preserve">Vu la délibération n° 18/281 AC de l'Assemblée de Corse prenant acte « di u </w:t>
      </w:r>
      <w:proofErr w:type="spellStart"/>
      <w:r w:rsidRPr="003D3D43">
        <w:rPr>
          <w:rFonts w:cs="Arial"/>
        </w:rPr>
        <w:t>prughjettu</w:t>
      </w:r>
      <w:proofErr w:type="spellEnd"/>
      <w:r w:rsidRPr="003D3D43">
        <w:rPr>
          <w:rFonts w:cs="Arial"/>
        </w:rPr>
        <w:t xml:space="preserve"> d'</w:t>
      </w:r>
      <w:proofErr w:type="spellStart"/>
      <w:r w:rsidRPr="003D3D43">
        <w:rPr>
          <w:rFonts w:cs="Arial"/>
        </w:rPr>
        <w:t>azzione</w:t>
      </w:r>
      <w:proofErr w:type="spellEnd"/>
      <w:r w:rsidRPr="003D3D43">
        <w:rPr>
          <w:rFonts w:cs="Arial"/>
        </w:rPr>
        <w:t xml:space="preserve"> sociale 2018-2021 » constitutif de la feuille de route relative aux compétences de la collectivité de Corse en matière d'affaires sociales pour la période 2018-2021 ;</w:t>
      </w:r>
    </w:p>
    <w:p w14:paraId="4BA6A91B" w14:textId="77777777" w:rsidR="00943A7A" w:rsidRPr="003D3D43" w:rsidRDefault="00943A7A" w:rsidP="003D3D43">
      <w:pPr>
        <w:ind w:right="-333"/>
        <w:jc w:val="both"/>
        <w:rPr>
          <w:rFonts w:cs="Arial"/>
          <w:color w:val="8496B0" w:themeColor="text2" w:themeTint="99"/>
        </w:rPr>
      </w:pPr>
    </w:p>
    <w:p w14:paraId="53B2586F" w14:textId="37C09514" w:rsidR="00943A7A" w:rsidRPr="003D3D43" w:rsidRDefault="00943A7A" w:rsidP="003D3D43">
      <w:pPr>
        <w:ind w:right="-333"/>
        <w:jc w:val="both"/>
        <w:rPr>
          <w:rFonts w:cs="Arial"/>
        </w:rPr>
      </w:pPr>
      <w:r w:rsidRPr="003D3D43">
        <w:rPr>
          <w:rFonts w:cs="Arial"/>
        </w:rPr>
        <w:t xml:space="preserve">Vu la délibération en date du </w:t>
      </w:r>
      <w:r w:rsidRPr="003D3D43">
        <w:rPr>
          <w:rFonts w:cs="Arial"/>
          <w:b/>
          <w:bCs/>
          <w:color w:val="0070C0"/>
        </w:rPr>
        <w:t>XXX</w:t>
      </w:r>
      <w:r w:rsidRPr="003D3D43">
        <w:rPr>
          <w:rFonts w:cs="Arial"/>
          <w:color w:val="FF0000"/>
        </w:rPr>
        <w:t xml:space="preserve"> </w:t>
      </w:r>
      <w:r w:rsidRPr="003D3D43">
        <w:rPr>
          <w:rFonts w:cs="Arial"/>
        </w:rPr>
        <w:t>du Conseil d’administration de XXX</w:t>
      </w:r>
      <w:r w:rsidRPr="003D3D43">
        <w:rPr>
          <w:rFonts w:cs="Arial"/>
          <w:color w:val="8496B0" w:themeColor="text2" w:themeTint="99"/>
        </w:rPr>
        <w:t xml:space="preserve"> </w:t>
      </w:r>
      <w:r w:rsidRPr="003D3D43">
        <w:rPr>
          <w:rFonts w:cs="Arial"/>
        </w:rPr>
        <w:t>relative au contrat d’objectifs et de moyens entre XX et l’ARS de Corse, pour la période</w:t>
      </w:r>
      <w:r w:rsidR="00860F13" w:rsidRPr="003D3D43">
        <w:rPr>
          <w:rFonts w:cs="Arial"/>
          <w:color w:val="FF0000"/>
        </w:rPr>
        <w:t xml:space="preserve"> </w:t>
      </w:r>
      <w:r w:rsidR="00860F13" w:rsidRPr="003D3D43">
        <w:rPr>
          <w:rFonts w:cs="Arial"/>
          <w:b/>
          <w:bCs/>
          <w:color w:val="0070C0"/>
        </w:rPr>
        <w:t>XXXX</w:t>
      </w:r>
      <w:r w:rsidR="00860F13" w:rsidRPr="003D3D43">
        <w:rPr>
          <w:rFonts w:cs="Arial"/>
          <w:color w:val="0070C0"/>
        </w:rPr>
        <w:t xml:space="preserve"> </w:t>
      </w:r>
    </w:p>
    <w:p w14:paraId="6063D317" w14:textId="53D17DDA" w:rsidR="00943A7A" w:rsidRDefault="00943A7A" w:rsidP="003D3D43">
      <w:pPr>
        <w:ind w:right="-333"/>
        <w:jc w:val="both"/>
        <w:rPr>
          <w:rFonts w:cs="Arial"/>
        </w:rPr>
      </w:pPr>
    </w:p>
    <w:p w14:paraId="26D5F2FB" w14:textId="3ADBA958" w:rsidR="009B0090" w:rsidRDefault="009B0090" w:rsidP="003D3D43">
      <w:pPr>
        <w:ind w:right="-333"/>
        <w:jc w:val="both"/>
        <w:rPr>
          <w:rFonts w:cs="Arial"/>
          <w:color w:val="0070C0"/>
        </w:rPr>
      </w:pPr>
      <w:r w:rsidRPr="00F44290">
        <w:rPr>
          <w:rFonts w:cs="Arial"/>
        </w:rPr>
        <w:t xml:space="preserve">Vu l’arrêté d’autorisation ou de renouvellement </w:t>
      </w:r>
      <w:r w:rsidRPr="009B0090">
        <w:rPr>
          <w:rFonts w:cs="Arial"/>
          <w:b/>
          <w:bCs/>
          <w:color w:val="0070C0"/>
        </w:rPr>
        <w:t>de l’établissement XXX</w:t>
      </w:r>
    </w:p>
    <w:p w14:paraId="17FC78ED" w14:textId="77777777" w:rsidR="009B0090" w:rsidRPr="003D3D43" w:rsidRDefault="009B0090" w:rsidP="003D3D43">
      <w:pPr>
        <w:ind w:right="-333"/>
        <w:jc w:val="both"/>
        <w:rPr>
          <w:rFonts w:cs="Arial"/>
        </w:rPr>
      </w:pPr>
    </w:p>
    <w:p w14:paraId="70A60639" w14:textId="3880CFAB" w:rsidR="00943A7A" w:rsidRPr="003D3D43" w:rsidRDefault="00943A7A" w:rsidP="003D3D43">
      <w:pPr>
        <w:ind w:right="-333"/>
        <w:jc w:val="both"/>
        <w:rPr>
          <w:rFonts w:cs="Arial"/>
          <w:b/>
          <w:sz w:val="22"/>
        </w:rPr>
      </w:pPr>
      <w:r w:rsidRPr="003D3D43">
        <w:rPr>
          <w:rFonts w:cs="Arial"/>
          <w:b/>
          <w:sz w:val="22"/>
        </w:rPr>
        <w:t>Il a été convenu ce qui suit :</w:t>
      </w:r>
    </w:p>
    <w:p w14:paraId="40ABA3F8" w14:textId="13BE3A90" w:rsidR="00C51C2F" w:rsidRPr="003D3D43" w:rsidRDefault="00C51C2F" w:rsidP="003D3D43">
      <w:pPr>
        <w:ind w:right="-333"/>
        <w:jc w:val="both"/>
        <w:rPr>
          <w:rFonts w:cs="Arial"/>
          <w:b/>
          <w:sz w:val="22"/>
        </w:rPr>
      </w:pPr>
    </w:p>
    <w:p w14:paraId="03D95526" w14:textId="64945FF9" w:rsidR="00C51C2F" w:rsidRPr="003D3D43" w:rsidRDefault="00C51C2F" w:rsidP="003D3D43">
      <w:pPr>
        <w:ind w:right="-333"/>
        <w:jc w:val="both"/>
        <w:rPr>
          <w:rFonts w:cs="Arial"/>
          <w:b/>
          <w:sz w:val="22"/>
        </w:rPr>
      </w:pPr>
    </w:p>
    <w:p w14:paraId="2B32B9BC" w14:textId="4EADFFBE" w:rsidR="00C51C2F" w:rsidRPr="003D3D43" w:rsidRDefault="00C51C2F" w:rsidP="003D3D43">
      <w:pPr>
        <w:ind w:right="-333"/>
        <w:jc w:val="both"/>
        <w:rPr>
          <w:rFonts w:cs="Arial"/>
          <w:b/>
          <w:sz w:val="22"/>
        </w:rPr>
      </w:pPr>
    </w:p>
    <w:p w14:paraId="04390527" w14:textId="77777777" w:rsidR="00C51C2F" w:rsidRPr="003D3D43" w:rsidRDefault="00C51C2F" w:rsidP="003D3D43">
      <w:pPr>
        <w:ind w:right="-333"/>
        <w:jc w:val="both"/>
        <w:rPr>
          <w:rFonts w:cs="Arial"/>
          <w:b/>
          <w:sz w:val="22"/>
        </w:rPr>
      </w:pPr>
    </w:p>
    <w:p w14:paraId="22D7795D" w14:textId="5C390D1D" w:rsidR="00943A7A" w:rsidRPr="003D3D43" w:rsidRDefault="00943A7A" w:rsidP="003D3D43">
      <w:pPr>
        <w:pStyle w:val="Titre1"/>
        <w:jc w:val="both"/>
        <w:rPr>
          <w:rFonts w:ascii="Arial" w:hAnsi="Arial" w:cs="Arial"/>
        </w:rPr>
      </w:pPr>
      <w:bookmarkStart w:id="2" w:name="_Toc69303796"/>
      <w:r w:rsidRPr="003D3D43">
        <w:rPr>
          <w:rFonts w:ascii="Arial" w:hAnsi="Arial" w:cs="Arial"/>
        </w:rPr>
        <w:lastRenderedPageBreak/>
        <w:t>PREAMBULE</w:t>
      </w:r>
      <w:bookmarkEnd w:id="2"/>
    </w:p>
    <w:p w14:paraId="61DC51C0" w14:textId="77777777" w:rsidR="00C51C2F" w:rsidRPr="003D3D43" w:rsidRDefault="00C51C2F" w:rsidP="003D3D43">
      <w:pPr>
        <w:pStyle w:val="Sansinterligne"/>
        <w:jc w:val="both"/>
        <w:rPr>
          <w:rFonts w:cs="Arial"/>
        </w:rPr>
      </w:pPr>
    </w:p>
    <w:p w14:paraId="6A7DEB89" w14:textId="77777777" w:rsidR="00FC7DBE" w:rsidRPr="003D3D43" w:rsidRDefault="00FC7DBE" w:rsidP="003D3D43">
      <w:pPr>
        <w:jc w:val="both"/>
        <w:rPr>
          <w:rFonts w:cs="Arial"/>
          <w:sz w:val="24"/>
          <w:szCs w:val="24"/>
        </w:rPr>
      </w:pPr>
      <w:r w:rsidRPr="003D3D43">
        <w:rPr>
          <w:rFonts w:cs="Arial"/>
          <w:color w:val="000000"/>
        </w:rPr>
        <w:t>La loi n°2015-1776 du 28 décembre 2015 relative à l’adaptation de la société au vieillissement substitue un Contrat Pluriannuel d’Objectifs et de Moyens (CPOM) à la convention tripartite signée par chaque EHPAD avec l’Agence Régionale de Santé et la Collectivité de Corse et à la convention d’habilitation à l’aide sociale départementale.</w:t>
      </w:r>
    </w:p>
    <w:p w14:paraId="7BC1E59F" w14:textId="77777777" w:rsidR="00FC7DBE" w:rsidRPr="003D3D43" w:rsidRDefault="00FC7DBE" w:rsidP="003D3D43">
      <w:pPr>
        <w:jc w:val="both"/>
        <w:rPr>
          <w:rFonts w:cs="Arial"/>
          <w:sz w:val="24"/>
          <w:szCs w:val="24"/>
        </w:rPr>
      </w:pPr>
    </w:p>
    <w:p w14:paraId="5892F275" w14:textId="77777777" w:rsidR="00FC7DBE" w:rsidRPr="003D3D43" w:rsidRDefault="00FC7DBE" w:rsidP="003D3D43">
      <w:pPr>
        <w:jc w:val="both"/>
        <w:rPr>
          <w:rFonts w:cs="Arial"/>
          <w:sz w:val="24"/>
          <w:szCs w:val="24"/>
        </w:rPr>
      </w:pPr>
      <w:r w:rsidRPr="003D3D43">
        <w:rPr>
          <w:rFonts w:cs="Arial"/>
          <w:color w:val="000000"/>
        </w:rPr>
        <w:t>La loi n° 2015-1702 du 21 décembre 2015 de financement de la sécurité sociale pour 2016 prévoit que les SSIAD intervenant auprès des personnes âgées et des personnes handicapées, signent un CPOM sur la période de 2016 à 2021.</w:t>
      </w:r>
    </w:p>
    <w:p w14:paraId="186C4959" w14:textId="58972B4E" w:rsidR="00FC7DBE" w:rsidRPr="003D3D43" w:rsidRDefault="00FC7DBE" w:rsidP="003D3D43">
      <w:pPr>
        <w:jc w:val="both"/>
        <w:rPr>
          <w:rFonts w:cs="Arial"/>
          <w:color w:val="000000"/>
        </w:rPr>
      </w:pPr>
    </w:p>
    <w:p w14:paraId="7FDAA83A" w14:textId="1217450F" w:rsidR="00FC7DBE" w:rsidRPr="003D3D43" w:rsidRDefault="00FC7DBE" w:rsidP="003D3D43">
      <w:pPr>
        <w:pStyle w:val="Sansinterligne"/>
        <w:jc w:val="both"/>
        <w:rPr>
          <w:rFonts w:cs="Arial"/>
          <w:highlight w:val="yellow"/>
        </w:rPr>
      </w:pPr>
      <w:r w:rsidRPr="003D3D43">
        <w:rPr>
          <w:rFonts w:cs="Arial"/>
          <w:color w:val="000000"/>
        </w:rPr>
        <w:t xml:space="preserve">Parallèlement, </w:t>
      </w:r>
      <w:r w:rsidRPr="003D3D43">
        <w:rPr>
          <w:rFonts w:cs="Arial"/>
        </w:rPr>
        <w:t>en application de l’article 75 de la loi n°2015-1702 du 21 décembre 2015 de financement de la sécurité sociale pour 2016, les établissements médico-sociaux accueillant des personnes en situation de handicap et relevant de la compétence tarifaire du directeur de l’Agence Régionale de Santé, que celle-ci soit exclusive ou conjointe avec le président du Conseil exécutif de Corse (excepté les UEROS), font eux-aussi désormais l’objet d’un Contrat Pluriannuel d’Objectifs et de Moyens (CPOM). </w:t>
      </w:r>
    </w:p>
    <w:p w14:paraId="1060CFAB" w14:textId="77777777" w:rsidR="00FC7DBE" w:rsidRPr="003D3D43" w:rsidRDefault="00FC7DBE" w:rsidP="003D3D43">
      <w:pPr>
        <w:pStyle w:val="Sansinterligne"/>
        <w:jc w:val="both"/>
        <w:rPr>
          <w:rFonts w:cs="Arial"/>
        </w:rPr>
      </w:pPr>
    </w:p>
    <w:p w14:paraId="5652E88C" w14:textId="45B01D4C" w:rsidR="00FC7DBE" w:rsidRPr="003D3D43" w:rsidRDefault="00FC7DBE" w:rsidP="003D3D43">
      <w:pPr>
        <w:pStyle w:val="Sansinterligne"/>
        <w:jc w:val="both"/>
        <w:rPr>
          <w:rFonts w:cs="Arial"/>
          <w:highlight w:val="yellow"/>
        </w:rPr>
      </w:pPr>
      <w:r w:rsidRPr="003D3D43">
        <w:rPr>
          <w:rFonts w:cs="Arial"/>
          <w:color w:val="000000"/>
        </w:rPr>
        <w:t>Il s’agit d’un support de dialogue entre les parties prenantes et sa conclusion entraîne une plus grande responsabilité du gestionnaire dans l’utilisation de ses ressources par le passage à un financement en dotation globale. Les parties au contrat conviennent d’établir leurs relations dans le cadre d’une démarche conjointe de transparence et d’engagements réciproques.</w:t>
      </w:r>
    </w:p>
    <w:p w14:paraId="3A652DAC" w14:textId="0274C245" w:rsidR="00FC7DBE" w:rsidRPr="003D3D43" w:rsidRDefault="00FC7DBE" w:rsidP="003D3D43">
      <w:pPr>
        <w:pStyle w:val="Sansinterligne"/>
        <w:jc w:val="both"/>
        <w:rPr>
          <w:rFonts w:cs="Arial"/>
        </w:rPr>
      </w:pPr>
    </w:p>
    <w:p w14:paraId="0D46A2D1" w14:textId="40C8B022" w:rsidR="00FC7DBE" w:rsidRPr="003D3D43" w:rsidRDefault="00FC7DBE" w:rsidP="003D3D43">
      <w:pPr>
        <w:jc w:val="both"/>
        <w:rPr>
          <w:rFonts w:cs="Arial"/>
          <w:sz w:val="24"/>
          <w:szCs w:val="24"/>
        </w:rPr>
      </w:pPr>
      <w:r w:rsidRPr="003D3D43">
        <w:rPr>
          <w:rFonts w:cs="Arial"/>
          <w:color w:val="000000"/>
        </w:rPr>
        <w:t>Le CPOM constitue de plus un outil d’amélioration continue de la qualité en référence aux recommandations de bonnes pratiques édictées par l’ANESM et la HAS et conformément aux principes élémentaires de la charte des droits et libertés de la personne accueillie mentionnée à l’article L 311-4 du code de l’action sociale et des familles, garantissant à toute personne âgée ou handicapée les meilleures conditions de vie, d’accompagnement et de soins. </w:t>
      </w:r>
    </w:p>
    <w:p w14:paraId="69E0EA57" w14:textId="77777777" w:rsidR="00FC7DBE" w:rsidRPr="003D3D43" w:rsidRDefault="00FC7DBE" w:rsidP="003D3D43">
      <w:pPr>
        <w:pStyle w:val="Sansinterligne"/>
        <w:jc w:val="both"/>
        <w:rPr>
          <w:rFonts w:cs="Arial"/>
        </w:rPr>
      </w:pPr>
    </w:p>
    <w:p w14:paraId="748AF135" w14:textId="40D96F65" w:rsidR="00FC7DBE" w:rsidRPr="003D3D43" w:rsidRDefault="00FC7DBE" w:rsidP="003D3D43">
      <w:pPr>
        <w:jc w:val="both"/>
        <w:rPr>
          <w:rFonts w:cs="Arial"/>
          <w:sz w:val="24"/>
          <w:szCs w:val="24"/>
        </w:rPr>
      </w:pPr>
      <w:r w:rsidRPr="003D3D43">
        <w:rPr>
          <w:rFonts w:cs="Arial"/>
          <w:color w:val="000000"/>
        </w:rPr>
        <w:t>Dans ce droit fil, le CPOM doit permettre de mieux répondre aux enjeux d’accompagnement des usagers en introduisant une approche sur le parcours de la personne et une logique de partenariats renforcés. Il constitue un outil favorisant la structuration de l’offre médico-sociale sur le territoire, afin de mieux répondre aux besoins des personnes âgées ou handicapées.</w:t>
      </w:r>
    </w:p>
    <w:p w14:paraId="6290B460" w14:textId="77777777" w:rsidR="003C65E0" w:rsidRPr="003D3D43" w:rsidRDefault="003C65E0" w:rsidP="003D3D43">
      <w:pPr>
        <w:pStyle w:val="Sansinterligne"/>
        <w:jc w:val="both"/>
        <w:rPr>
          <w:rFonts w:cs="Arial"/>
          <w:color w:val="000000"/>
        </w:rPr>
      </w:pPr>
    </w:p>
    <w:p w14:paraId="6464B159" w14:textId="0A8ABF4A" w:rsidR="003C65E0" w:rsidRPr="003D3D43" w:rsidRDefault="003C65E0" w:rsidP="003D3D43">
      <w:pPr>
        <w:pStyle w:val="Sansinterligne"/>
        <w:jc w:val="both"/>
        <w:rPr>
          <w:rFonts w:cs="Arial"/>
          <w:sz w:val="24"/>
          <w:szCs w:val="24"/>
        </w:rPr>
      </w:pPr>
      <w:r w:rsidRPr="003D3D43">
        <w:rPr>
          <w:rFonts w:cs="Arial"/>
        </w:rPr>
        <w:t>Les enjeux actuels de l’accompagnement des personnes en situation de handicap concernent</w:t>
      </w:r>
      <w:r w:rsidR="00A236B4" w:rsidRPr="003D3D43">
        <w:rPr>
          <w:rFonts w:cs="Arial"/>
        </w:rPr>
        <w:t xml:space="preserve"> en effet</w:t>
      </w:r>
      <w:r w:rsidRPr="003D3D43">
        <w:rPr>
          <w:rFonts w:cs="Arial"/>
        </w:rPr>
        <w:t xml:space="preserve"> en priorité la fluidité du parcours de l’usager, la promotion d’une société plus inclusive et la qualité de l’accompagnement ce qui nécessite l’inscription dans des partenariats renforcés. L’adoption de la logique de parcours a été préfigurée par le rapport Piveteau et la mission </w:t>
      </w:r>
      <w:proofErr w:type="spellStart"/>
      <w:r w:rsidRPr="003D3D43">
        <w:rPr>
          <w:rFonts w:cs="Arial"/>
        </w:rPr>
        <w:t>Desaulle</w:t>
      </w:r>
      <w:proofErr w:type="spellEnd"/>
      <w:r w:rsidRPr="003D3D43">
        <w:rPr>
          <w:rFonts w:cs="Arial"/>
        </w:rPr>
        <w:t xml:space="preserve"> et s’articule désormais avec la démarche Réponse Accompagnée Pour Tous (RAPT). Le CPOM doit permettre de mieux répondre à ces enjeux et offre également l’occasion d’entamer la réflexion pour une approche de l’offre et de l’accompagnement en termes de besoins et de prestations selon les nomenclatures </w:t>
      </w:r>
      <w:proofErr w:type="spellStart"/>
      <w:r w:rsidRPr="003D3D43">
        <w:rPr>
          <w:rFonts w:cs="Arial"/>
        </w:rPr>
        <w:t>Serafin</w:t>
      </w:r>
      <w:proofErr w:type="spellEnd"/>
      <w:r w:rsidRPr="003D3D43">
        <w:rPr>
          <w:rFonts w:cs="Arial"/>
        </w:rPr>
        <w:t>-PH. Le CPOM favorise ainsi la recomposition et l’adaptation de l’offre médico-sociale sur le territoire et une meilleure visibilité de celle-ci afin de mieux répondre aux enjeux d’adéquation entre offre et réponse aux besoins des personnes en situation de handicap. Il est un outil de promotion de la qualité de service de l’usager s’appuyant sur l’innovation et la prévention. </w:t>
      </w:r>
    </w:p>
    <w:p w14:paraId="65E1CA58" w14:textId="77777777" w:rsidR="003C65E0" w:rsidRPr="003D3D43" w:rsidRDefault="003C65E0" w:rsidP="003D3D43">
      <w:pPr>
        <w:pStyle w:val="Sansinterligne"/>
        <w:jc w:val="both"/>
        <w:rPr>
          <w:rFonts w:cs="Arial"/>
          <w:color w:val="000000"/>
        </w:rPr>
      </w:pPr>
    </w:p>
    <w:p w14:paraId="4AA61A42" w14:textId="0770EFED" w:rsidR="003C65E0" w:rsidRPr="003D3D43" w:rsidRDefault="00A236B4" w:rsidP="003D3D43">
      <w:pPr>
        <w:jc w:val="both"/>
        <w:rPr>
          <w:rFonts w:cs="Arial"/>
          <w:color w:val="000000"/>
        </w:rPr>
      </w:pPr>
      <w:r w:rsidRPr="003D3D43">
        <w:rPr>
          <w:rFonts w:cs="Arial"/>
          <w:color w:val="000000"/>
        </w:rPr>
        <w:t>Par ailleurs, l</w:t>
      </w:r>
      <w:r w:rsidR="003C65E0" w:rsidRPr="003D3D43">
        <w:rPr>
          <w:rFonts w:cs="Arial"/>
          <w:color w:val="000000"/>
        </w:rPr>
        <w:t>e décret n°2016-1164 du 26 août 2016 relatif aux conditions techniques minimales d’organisation et de fonctionnement des établissements d’hébergement pour personnes âgées dépendantes rappelle que les EHPAD fournissent à chaque résident, à minima, le socle de prestations d’hébergement prévu aux articles D.312-159-2 et D.342-3, proposent et dispensent les soins médicaux et paramédicaux adaptés, des actions de prévention de la perte d’autonomie et d’éducation à la santé et apportent une aide à la vie quotidienne adaptée. Ils mettent en place avec la personne accueillie un projet d’accompagnement personnalisé adapté aux besoins comprenant un projet de soins et un projet de vie visant à favoriser l’exercice des droits des personnes accueillies.</w:t>
      </w:r>
    </w:p>
    <w:p w14:paraId="420DA9A6" w14:textId="77777777" w:rsidR="00A236B4" w:rsidRPr="003D3D43" w:rsidRDefault="00A236B4" w:rsidP="003D3D43">
      <w:pPr>
        <w:jc w:val="both"/>
        <w:rPr>
          <w:rFonts w:cs="Arial"/>
          <w:sz w:val="24"/>
          <w:szCs w:val="24"/>
        </w:rPr>
      </w:pPr>
    </w:p>
    <w:p w14:paraId="37289D92" w14:textId="77777777" w:rsidR="00A236B4" w:rsidRPr="003D3D43" w:rsidRDefault="00A236B4" w:rsidP="003D3D43">
      <w:pPr>
        <w:jc w:val="both"/>
        <w:rPr>
          <w:rFonts w:cs="Arial"/>
          <w:sz w:val="24"/>
          <w:szCs w:val="24"/>
        </w:rPr>
      </w:pPr>
      <w:r w:rsidRPr="003D3D43">
        <w:rPr>
          <w:rFonts w:cs="Arial"/>
          <w:color w:val="000000"/>
        </w:rPr>
        <w:t>Enfin, le CPOM est également un outil de déclinaison opérationnelle des objectifs du PRS et des schémas départementaux. Il s’appuie sur les projets stratégiques des organismes gestionnaires, dans la limite des objectifs et priorités des différents schémas.</w:t>
      </w:r>
    </w:p>
    <w:p w14:paraId="2C31CAC6" w14:textId="77777777" w:rsidR="00A236B4" w:rsidRPr="003D3D43" w:rsidRDefault="00A236B4" w:rsidP="003D3D43">
      <w:pPr>
        <w:pStyle w:val="Sansinterligne"/>
        <w:jc w:val="both"/>
        <w:rPr>
          <w:rFonts w:cs="Arial"/>
          <w:highlight w:val="yellow"/>
        </w:rPr>
      </w:pPr>
    </w:p>
    <w:p w14:paraId="0D3CD484" w14:textId="77777777" w:rsidR="00A236B4" w:rsidRPr="003D3D43" w:rsidRDefault="00A236B4" w:rsidP="003D3D43">
      <w:pPr>
        <w:pStyle w:val="Sansinterligne"/>
        <w:jc w:val="both"/>
        <w:rPr>
          <w:rFonts w:cs="Arial"/>
        </w:rPr>
      </w:pPr>
      <w:r w:rsidRPr="003D3D43">
        <w:rPr>
          <w:rFonts w:cs="Arial"/>
          <w:color w:val="000000"/>
        </w:rPr>
        <w:lastRenderedPageBreak/>
        <w:t>La procédure de l’État des Prévisions de Recettes et de Dépenses dont relève l’organisme gestionnaire l’année suivant la signature du CPOM implique la mise en œuvre d’une gestion financière et budgétaire équilibrée sur toute la durée du CPOM dans un objectif d’équité entre les établissements et services médico-sociaux (ESMS).</w:t>
      </w:r>
    </w:p>
    <w:p w14:paraId="3920FAE0" w14:textId="221C86A2" w:rsidR="00943A7A" w:rsidRPr="00473B51" w:rsidRDefault="00943A7A" w:rsidP="00C51C2F">
      <w:pPr>
        <w:pStyle w:val="Sansinterligne"/>
        <w:rPr>
          <w:color w:val="000000"/>
        </w:rPr>
      </w:pPr>
      <w:r w:rsidRPr="00473B51">
        <w:rPr>
          <w:color w:val="000000"/>
        </w:rPr>
        <w:br w:type="page"/>
      </w:r>
    </w:p>
    <w:bookmarkStart w:id="3" w:name="_Toc69303797"/>
    <w:p w14:paraId="7E630A7C" w14:textId="1A0CDF04" w:rsidR="00D04487" w:rsidRPr="00473B51" w:rsidRDefault="00D04487" w:rsidP="00D04487">
      <w:pPr>
        <w:pStyle w:val="Titre1"/>
        <w:jc w:val="center"/>
        <w:rPr>
          <w:rFonts w:ascii="Arial" w:hAnsi="Arial" w:cs="Arial"/>
          <w:color w:val="000000" w:themeColor="text1"/>
          <w:sz w:val="32"/>
          <w:szCs w:val="32"/>
        </w:rPr>
      </w:pPr>
      <w:r w:rsidRPr="00473B51">
        <w:rPr>
          <w:rFonts w:ascii="Arial" w:hAnsi="Arial" w:cs="Arial"/>
          <w:noProof/>
          <w:color w:val="000000" w:themeColor="text1"/>
        </w:rPr>
        <w:lastRenderedPageBreak/>
        <mc:AlternateContent>
          <mc:Choice Requires="wps">
            <w:drawing>
              <wp:anchor distT="0" distB="0" distL="114300" distR="114300" simplePos="0" relativeHeight="251665408" behindDoc="0" locked="0" layoutInCell="1" allowOverlap="1" wp14:anchorId="7AD459BE" wp14:editId="629D0524">
                <wp:simplePos x="0" y="0"/>
                <wp:positionH relativeFrom="margin">
                  <wp:align>right</wp:align>
                </wp:positionH>
                <wp:positionV relativeFrom="paragraph">
                  <wp:posOffset>-86360</wp:posOffset>
                </wp:positionV>
                <wp:extent cx="6048375" cy="40005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6048375" cy="400050"/>
                        </a:xfrm>
                        <a:prstGeom prst="rect">
                          <a:avLst/>
                        </a:prstGeom>
                        <a:noFill/>
                        <a:ln w="952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3DF94" id="Rectangle 24" o:spid="_x0000_s1026" style="position:absolute;margin-left:425.05pt;margin-top:-6.8pt;width:476.25pt;height:31.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" filled="f" strokecolor="black [3213]">
                <v:stroke joinstyle="round"/>
                <w10:wrap anchorx="margin"/>
              </v:rect>
            </w:pict>
          </mc:Fallback>
        </mc:AlternateContent>
      </w:r>
      <w:r w:rsidRPr="00473B51">
        <w:rPr>
          <w:rFonts w:ascii="Arial" w:hAnsi="Arial" w:cs="Arial"/>
          <w:color w:val="000000" w:themeColor="text1"/>
          <w:sz w:val="32"/>
          <w:szCs w:val="32"/>
        </w:rPr>
        <w:t>TITRE 1- OBJET DU CONTRAT</w:t>
      </w:r>
      <w:bookmarkEnd w:id="3"/>
    </w:p>
    <w:p w14:paraId="72894993" w14:textId="77777777" w:rsidR="00922AEC" w:rsidRPr="00473B51" w:rsidRDefault="00922AEC" w:rsidP="00922AEC">
      <w:pPr>
        <w:pStyle w:val="Titre2"/>
        <w:rPr>
          <w:rFonts w:ascii="Arial" w:hAnsi="Arial" w:cs="Arial"/>
        </w:rPr>
      </w:pPr>
    </w:p>
    <w:p w14:paraId="5D2F1B7A" w14:textId="77777777" w:rsidR="00841D41" w:rsidRPr="003D3D43" w:rsidRDefault="00841D41" w:rsidP="003D3D43">
      <w:pPr>
        <w:pStyle w:val="Titre2"/>
        <w:jc w:val="both"/>
        <w:rPr>
          <w:rFonts w:ascii="Arial" w:hAnsi="Arial" w:cs="Arial"/>
          <w:b/>
          <w:bCs/>
          <w:sz w:val="24"/>
          <w:szCs w:val="24"/>
          <w:u w:val="single"/>
        </w:rPr>
      </w:pPr>
      <w:bookmarkStart w:id="4" w:name="_Toc65052798"/>
      <w:bookmarkStart w:id="5" w:name="_Toc65156460"/>
      <w:bookmarkStart w:id="6" w:name="_Toc69303798"/>
      <w:r w:rsidRPr="003D3D43">
        <w:rPr>
          <w:rFonts w:ascii="Arial" w:hAnsi="Arial" w:cs="Arial"/>
          <w:b/>
          <w:bCs/>
          <w:sz w:val="24"/>
          <w:szCs w:val="24"/>
          <w:u w:val="single"/>
        </w:rPr>
        <w:t>Article 1</w:t>
      </w:r>
      <w:r w:rsidRPr="003D3D43">
        <w:rPr>
          <w:rFonts w:ascii="Arial" w:hAnsi="Arial" w:cs="Arial"/>
          <w:b/>
          <w:bCs/>
          <w:sz w:val="24"/>
          <w:szCs w:val="24"/>
        </w:rPr>
        <w:t xml:space="preserve"> – </w:t>
      </w:r>
      <w:r w:rsidRPr="003D3D43">
        <w:rPr>
          <w:rFonts w:ascii="Arial" w:hAnsi="Arial" w:cs="Arial"/>
          <w:b/>
          <w:bCs/>
          <w:sz w:val="24"/>
          <w:szCs w:val="24"/>
          <w:u w:val="single"/>
        </w:rPr>
        <w:t>Identification de l’OG/ESMS entrant dans le périmètre du CPOM</w:t>
      </w:r>
      <w:bookmarkEnd w:id="4"/>
      <w:bookmarkEnd w:id="5"/>
      <w:bookmarkEnd w:id="6"/>
    </w:p>
    <w:p w14:paraId="62DF3B37" w14:textId="77777777" w:rsidR="00954C45" w:rsidRPr="003D3D43" w:rsidRDefault="00954C45" w:rsidP="003D3D43">
      <w:pPr>
        <w:pStyle w:val="Sansinterligne"/>
        <w:jc w:val="both"/>
        <w:rPr>
          <w:rFonts w:eastAsia="Arial" w:cs="Arial"/>
        </w:rPr>
      </w:pPr>
    </w:p>
    <w:p w14:paraId="7AFDE058" w14:textId="1B0186F2" w:rsidR="00954C45" w:rsidRPr="003D3D43" w:rsidRDefault="005D688C" w:rsidP="003D3D43">
      <w:pPr>
        <w:jc w:val="both"/>
        <w:rPr>
          <w:rFonts w:eastAsia="Arial" w:cs="Arial"/>
          <w:b/>
          <w:bCs/>
          <w:color w:val="2F5496" w:themeColor="accent1" w:themeShade="BF"/>
        </w:rPr>
      </w:pPr>
      <w:r w:rsidRPr="003D3D43">
        <w:rPr>
          <w:rFonts w:eastAsia="Arial" w:cs="Arial"/>
          <w:b/>
          <w:bCs/>
          <w:color w:val="2F5496" w:themeColor="accent1" w:themeShade="BF"/>
        </w:rPr>
        <w:t xml:space="preserve">1.1 </w:t>
      </w:r>
      <w:r w:rsidR="00954C45" w:rsidRPr="003D3D43">
        <w:rPr>
          <w:rFonts w:eastAsia="Arial" w:cs="Arial"/>
          <w:b/>
          <w:bCs/>
          <w:color w:val="2F5496" w:themeColor="accent1" w:themeShade="BF"/>
        </w:rPr>
        <w:t>Caractéristiques de l’OG/ESMS</w:t>
      </w:r>
    </w:p>
    <w:p w14:paraId="2913C620" w14:textId="77777777" w:rsidR="00954C45" w:rsidRPr="003D3D43" w:rsidRDefault="00954C45" w:rsidP="003D3D43">
      <w:pPr>
        <w:jc w:val="both"/>
        <w:rPr>
          <w:rFonts w:cs="Arial"/>
          <w:color w:val="0070C0"/>
        </w:rPr>
      </w:pPr>
    </w:p>
    <w:p w14:paraId="2F026DE6" w14:textId="0BF900CF" w:rsidR="00841D41" w:rsidRPr="003D3D43" w:rsidRDefault="00841D41" w:rsidP="003D3D43">
      <w:pPr>
        <w:pBdr>
          <w:top w:val="nil"/>
          <w:left w:val="nil"/>
          <w:bottom w:val="nil"/>
          <w:right w:val="nil"/>
          <w:between w:val="nil"/>
        </w:pBdr>
        <w:tabs>
          <w:tab w:val="left" w:pos="1425"/>
        </w:tabs>
        <w:jc w:val="both"/>
        <w:rPr>
          <w:rFonts w:cs="Arial"/>
          <w:color w:val="000000"/>
        </w:rPr>
      </w:pPr>
      <w:r w:rsidRPr="003D3D43">
        <w:rPr>
          <w:rFonts w:cs="Arial"/>
          <w:color w:val="000000"/>
        </w:rPr>
        <w:t xml:space="preserve">Le gestionnaire présente les caractéristiques de son organisme figurant en </w:t>
      </w:r>
      <w:r w:rsidRPr="003D3D43">
        <w:rPr>
          <w:rFonts w:cs="Arial"/>
          <w:b/>
          <w:bCs/>
          <w:color w:val="000000"/>
        </w:rPr>
        <w:t>annexe 1</w:t>
      </w:r>
      <w:r w:rsidR="00A41CEB" w:rsidRPr="003D3D43">
        <w:rPr>
          <w:rFonts w:cs="Arial"/>
          <w:b/>
          <w:bCs/>
          <w:color w:val="000000"/>
        </w:rPr>
        <w:t>a</w:t>
      </w:r>
      <w:r w:rsidRPr="003D3D43">
        <w:rPr>
          <w:rFonts w:cs="Arial"/>
          <w:color w:val="000000"/>
        </w:rPr>
        <w:t>.</w:t>
      </w:r>
    </w:p>
    <w:p w14:paraId="0B3ED3C5" w14:textId="6AA0BE4B" w:rsidR="00841D41" w:rsidRPr="003D3D43" w:rsidRDefault="00841D41" w:rsidP="003D3D43">
      <w:pPr>
        <w:ind w:right="-333"/>
        <w:jc w:val="both"/>
        <w:rPr>
          <w:rFonts w:cs="Arial"/>
        </w:rPr>
      </w:pPr>
      <w:r w:rsidRPr="003D3D43">
        <w:rPr>
          <w:rFonts w:cs="Arial"/>
        </w:rPr>
        <w:t xml:space="preserve">Le contrat couvre le ou les ESMS dont les caractéristiques sont détaillées en </w:t>
      </w:r>
      <w:r w:rsidRPr="003D3D43">
        <w:rPr>
          <w:rFonts w:cs="Arial"/>
          <w:b/>
          <w:bCs/>
        </w:rPr>
        <w:t>annexe 1</w:t>
      </w:r>
      <w:r w:rsidR="00A41CEB" w:rsidRPr="003D3D43">
        <w:rPr>
          <w:rFonts w:cs="Arial"/>
          <w:b/>
          <w:bCs/>
        </w:rPr>
        <w:t>b</w:t>
      </w:r>
      <w:r w:rsidRPr="003D3D43">
        <w:rPr>
          <w:rFonts w:cs="Arial"/>
        </w:rPr>
        <w:t>.</w:t>
      </w:r>
    </w:p>
    <w:p w14:paraId="278289B0" w14:textId="734E5719" w:rsidR="003E495D" w:rsidRPr="003D3D43" w:rsidRDefault="003E495D" w:rsidP="003D3D43">
      <w:pPr>
        <w:ind w:right="-333"/>
        <w:jc w:val="both"/>
        <w:rPr>
          <w:rFonts w:cs="Arial"/>
          <w:color w:val="2F5496" w:themeColor="accent1" w:themeShade="BF"/>
        </w:rPr>
      </w:pPr>
    </w:p>
    <w:p w14:paraId="6950D822" w14:textId="77777777" w:rsidR="00954C45" w:rsidRPr="003D3D43" w:rsidRDefault="00954C45" w:rsidP="003D3D43">
      <w:pPr>
        <w:jc w:val="both"/>
        <w:rPr>
          <w:rFonts w:cs="Arial"/>
          <w:b/>
          <w:bCs/>
          <w:color w:val="2F5496" w:themeColor="accent1" w:themeShade="BF"/>
        </w:rPr>
      </w:pPr>
      <w:r w:rsidRPr="003D3D43">
        <w:rPr>
          <w:rFonts w:cs="Arial"/>
          <w:b/>
          <w:bCs/>
          <w:color w:val="2F5496" w:themeColor="accent1" w:themeShade="BF"/>
        </w:rPr>
        <w:t xml:space="preserve">1.2 L’articulation avec les autres CPOM signés par le gestionnaire </w:t>
      </w:r>
    </w:p>
    <w:p w14:paraId="1F7043CF" w14:textId="77777777" w:rsidR="00902626" w:rsidRPr="003D3D43" w:rsidRDefault="00902626" w:rsidP="003D3D43">
      <w:pPr>
        <w:ind w:right="-333"/>
        <w:jc w:val="both"/>
        <w:rPr>
          <w:rFonts w:cs="Arial"/>
        </w:rPr>
      </w:pPr>
    </w:p>
    <w:p w14:paraId="3B027A80" w14:textId="77777777" w:rsidR="00BF77B1" w:rsidRPr="003D3D43" w:rsidRDefault="00BF77B1" w:rsidP="003D3D43">
      <w:pPr>
        <w:pStyle w:val="Sansinterligne"/>
        <w:jc w:val="both"/>
        <w:rPr>
          <w:rFonts w:cs="Arial"/>
        </w:rPr>
      </w:pPr>
      <w:r w:rsidRPr="003D3D43">
        <w:rPr>
          <w:rFonts w:cs="Arial"/>
        </w:rPr>
        <w:t>Dans le cas où le gestionnaire est signataire de plusieurs CPOM, deux options alternatives sont ouvertes aux parties signataires, qui indiquent celle retenue à cet article :</w:t>
      </w:r>
    </w:p>
    <w:p w14:paraId="46F03B00" w14:textId="09144219" w:rsidR="008E72F3" w:rsidRPr="003D3D43" w:rsidRDefault="008E72F3" w:rsidP="003D3D43">
      <w:pPr>
        <w:ind w:right="-333"/>
        <w:jc w:val="both"/>
        <w:rPr>
          <w:rFonts w:cs="Arial"/>
        </w:rPr>
      </w:pPr>
    </w:p>
    <w:p w14:paraId="698C512E" w14:textId="4215A0C0" w:rsidR="008E72F3" w:rsidRPr="003D3D43" w:rsidRDefault="008E72F3" w:rsidP="003D3D43">
      <w:pPr>
        <w:ind w:left="567" w:right="-333"/>
        <w:jc w:val="both"/>
        <w:rPr>
          <w:rFonts w:cs="Arial"/>
        </w:rPr>
      </w:pPr>
      <w:r w:rsidRPr="003D3D43">
        <w:rPr>
          <w:rFonts w:cs="Arial"/>
        </w:rPr>
        <w:t>•</w:t>
      </w:r>
      <w:r w:rsidRPr="003D3D43">
        <w:rPr>
          <w:rFonts w:cs="Arial"/>
        </w:rPr>
        <w:tab/>
      </w:r>
      <w:r w:rsidRPr="003D3D43">
        <w:rPr>
          <w:rFonts w:cs="Arial"/>
          <w:u w:val="single"/>
        </w:rPr>
        <w:t>Solution 1</w:t>
      </w:r>
      <w:r w:rsidRPr="003D3D43">
        <w:rPr>
          <w:rFonts w:cs="Arial"/>
        </w:rPr>
        <w:t xml:space="preserve"> : Il est décidé de conserver les CPOM distincts. Chaque CPOM poursuit ses effets juridiques indépendamment des autres CPOM de l’organisme gestionnaire. Une articulation entre les différents CPOM doit toutefois être opérée afin de permettre à l’autorité de tarification d’avoir une vision globale sur les ESMS gérés par l’organisme gestionnaire.</w:t>
      </w:r>
    </w:p>
    <w:p w14:paraId="471332F8" w14:textId="77777777" w:rsidR="008E72F3" w:rsidRPr="003D3D43" w:rsidRDefault="008E72F3" w:rsidP="003D3D43">
      <w:pPr>
        <w:ind w:right="-333"/>
        <w:jc w:val="both"/>
        <w:rPr>
          <w:rFonts w:cs="Arial"/>
        </w:rPr>
      </w:pPr>
    </w:p>
    <w:p w14:paraId="69387D6A" w14:textId="46972517" w:rsidR="008E72F3" w:rsidRPr="003D3D43" w:rsidRDefault="008E72F3" w:rsidP="003D3D43">
      <w:pPr>
        <w:ind w:left="567" w:right="-333"/>
        <w:jc w:val="both"/>
        <w:rPr>
          <w:rFonts w:cs="Arial"/>
        </w:rPr>
      </w:pPr>
      <w:r w:rsidRPr="003D3D43">
        <w:rPr>
          <w:rFonts w:cs="Arial"/>
        </w:rPr>
        <w:t>•</w:t>
      </w:r>
      <w:r w:rsidRPr="003D3D43">
        <w:rPr>
          <w:rFonts w:cs="Arial"/>
        </w:rPr>
        <w:tab/>
      </w:r>
      <w:r w:rsidRPr="003D3D43">
        <w:rPr>
          <w:rFonts w:cs="Arial"/>
          <w:u w:val="single"/>
        </w:rPr>
        <w:t>Solution 2</w:t>
      </w:r>
      <w:r w:rsidRPr="003D3D43">
        <w:rPr>
          <w:rFonts w:cs="Arial"/>
        </w:rPr>
        <w:t xml:space="preserve"> : Il est décidé de fusionner les CPOM. Le présent contrat permet au gestionnaire de regrouper en un document unique tout ou partie des obligations contractuelles auxquelles il est soumis. Le CPOM unique se substitue aux CPOM préexistants, qu’il intègre sous forme de socle commun et de volets additionnels. Dans ce cas, l’ensemble des établissements et services du CPOM relève d’un même état des prévisions de recettes et de dépenses. Les clauses du CPOM s’appliquent de manière concomitante à l’intégralité des établissements et services et prennent fin dans les mêmes conditions</w:t>
      </w:r>
    </w:p>
    <w:p w14:paraId="1C7D6D91" w14:textId="7F58B2B3" w:rsidR="008E72F3" w:rsidRPr="003D3D43" w:rsidRDefault="008E72F3" w:rsidP="003D3D43">
      <w:pPr>
        <w:pStyle w:val="Sansinterligne"/>
        <w:jc w:val="both"/>
        <w:rPr>
          <w:rFonts w:cs="Arial"/>
        </w:rPr>
      </w:pPr>
    </w:p>
    <w:p w14:paraId="4A6537CF" w14:textId="77777777" w:rsidR="00BF77B1" w:rsidRPr="003D3D43" w:rsidRDefault="00BF77B1" w:rsidP="003D3D43">
      <w:pPr>
        <w:pStyle w:val="Sansinterligne"/>
        <w:keepLines w:val="0"/>
        <w:jc w:val="both"/>
        <w:rPr>
          <w:rFonts w:cs="Arial"/>
        </w:rPr>
      </w:pPr>
      <w:r w:rsidRPr="003D3D43">
        <w:rPr>
          <w:rFonts w:cs="Arial"/>
        </w:rPr>
        <w:t xml:space="preserve">Lorsqu’un ou plusieurs établissements ou services couverts par le présent contrat sont rattachés à un établissement de santé signataire d’un « CPOM Sanitaire » (article </w:t>
      </w:r>
      <w:sdt>
        <w:sdtPr>
          <w:rPr>
            <w:rFonts w:cs="Arial"/>
          </w:rPr>
          <w:tag w:val="goog_rdk_88"/>
          <w:id w:val="-1385638023"/>
        </w:sdtPr>
        <w:sdtContent>
          <w:r w:rsidRPr="003D3D43">
            <w:rPr>
              <w:rFonts w:cs="Arial"/>
            </w:rPr>
            <w:t>L6114-1</w:t>
          </w:r>
        </w:sdtContent>
      </w:sdt>
      <w:r w:rsidRPr="003D3D43">
        <w:rPr>
          <w:rFonts w:cs="Arial"/>
        </w:rPr>
        <w:t xml:space="preserve"> du code de la santé publique), ceci est mentionné dans le présent contrat et les parties signataires veillent à l’articulation et à la cohérence des engagements pris dans chacun des contrats. </w:t>
      </w:r>
    </w:p>
    <w:p w14:paraId="08CC82A1" w14:textId="77777777" w:rsidR="00BF77B1" w:rsidRPr="003D3D43" w:rsidRDefault="00BF77B1" w:rsidP="003D3D43">
      <w:pPr>
        <w:pStyle w:val="Sansinterligne"/>
        <w:jc w:val="both"/>
        <w:rPr>
          <w:rFonts w:cs="Arial"/>
        </w:rPr>
      </w:pPr>
    </w:p>
    <w:p w14:paraId="48638B44" w14:textId="5685C8BA" w:rsidR="008E72F3" w:rsidRPr="003D3D43" w:rsidRDefault="008E72F3" w:rsidP="003D3D43">
      <w:pPr>
        <w:pStyle w:val="Sansinterligne"/>
        <w:jc w:val="both"/>
        <w:rPr>
          <w:rFonts w:cs="Arial"/>
        </w:rPr>
      </w:pPr>
      <w:r w:rsidRPr="003D3D43">
        <w:rPr>
          <w:rFonts w:cs="Arial"/>
        </w:rPr>
        <w:t xml:space="preserve">Il est ajouté en </w:t>
      </w:r>
      <w:r w:rsidRPr="003D3D43">
        <w:rPr>
          <w:rFonts w:cs="Arial"/>
          <w:b/>
          <w:bCs/>
        </w:rPr>
        <w:t xml:space="preserve">annexe </w:t>
      </w:r>
      <w:r w:rsidR="00C24BDF" w:rsidRPr="003D3D43">
        <w:rPr>
          <w:rFonts w:cs="Arial"/>
          <w:b/>
          <w:bCs/>
        </w:rPr>
        <w:t>9</w:t>
      </w:r>
      <w:r w:rsidRPr="003D3D43">
        <w:rPr>
          <w:rFonts w:cs="Arial"/>
        </w:rPr>
        <w:t xml:space="preserve"> du présent contrat les éléments du CPOM sanitaire susceptibles d’éclairer la situation des établissements ou services signataires du présent contrat. </w:t>
      </w:r>
    </w:p>
    <w:p w14:paraId="2DE28F04" w14:textId="364C16B0" w:rsidR="008E72F3" w:rsidRPr="003D3D43" w:rsidRDefault="008E72F3" w:rsidP="003D3D43">
      <w:pPr>
        <w:pStyle w:val="Sansinterligne"/>
        <w:jc w:val="both"/>
        <w:rPr>
          <w:rFonts w:cs="Arial"/>
        </w:rPr>
      </w:pPr>
      <w:r w:rsidRPr="003D3D43">
        <w:rPr>
          <w:rFonts w:cs="Arial"/>
        </w:rPr>
        <w:t>Le CPOM Médico-social est annexé au CPOM sanitaire et négocié dans le cadre des délais fixés par le code de la santé publique.</w:t>
      </w:r>
    </w:p>
    <w:p w14:paraId="22D10CDF" w14:textId="77777777" w:rsidR="00954C45" w:rsidRPr="003D3D43" w:rsidRDefault="00954C45" w:rsidP="003D3D43">
      <w:pPr>
        <w:autoSpaceDE w:val="0"/>
        <w:autoSpaceDN w:val="0"/>
        <w:adjustRightInd w:val="0"/>
        <w:ind w:right="-333"/>
        <w:jc w:val="both"/>
        <w:rPr>
          <w:rFonts w:cs="Arial"/>
          <w:b/>
        </w:rPr>
      </w:pPr>
    </w:p>
    <w:p w14:paraId="6E6DBA58" w14:textId="77777777" w:rsidR="002042C6" w:rsidRPr="003D3D43" w:rsidRDefault="002042C6" w:rsidP="003D3D43">
      <w:pPr>
        <w:pStyle w:val="Titre2"/>
        <w:jc w:val="both"/>
        <w:rPr>
          <w:rFonts w:ascii="Arial" w:hAnsi="Arial" w:cs="Arial"/>
          <w:b/>
          <w:bCs/>
          <w:sz w:val="24"/>
          <w:szCs w:val="24"/>
          <w:u w:val="single"/>
        </w:rPr>
      </w:pPr>
      <w:bookmarkStart w:id="7" w:name="_Toc65052799"/>
      <w:bookmarkStart w:id="8" w:name="_Toc65084538"/>
      <w:bookmarkStart w:id="9" w:name="_Toc69303799"/>
      <w:r w:rsidRPr="003D3D43">
        <w:rPr>
          <w:rFonts w:ascii="Arial" w:hAnsi="Arial" w:cs="Arial"/>
          <w:b/>
          <w:bCs/>
          <w:sz w:val="24"/>
          <w:szCs w:val="24"/>
          <w:u w:val="single"/>
        </w:rPr>
        <w:t>Article 2</w:t>
      </w:r>
      <w:r w:rsidRPr="003D3D43">
        <w:rPr>
          <w:rFonts w:ascii="Arial" w:hAnsi="Arial" w:cs="Arial"/>
          <w:b/>
          <w:bCs/>
          <w:sz w:val="24"/>
          <w:szCs w:val="24"/>
        </w:rPr>
        <w:t xml:space="preserve"> – </w:t>
      </w:r>
      <w:r w:rsidRPr="003D3D43">
        <w:rPr>
          <w:rFonts w:ascii="Arial" w:hAnsi="Arial" w:cs="Arial"/>
          <w:b/>
          <w:bCs/>
          <w:sz w:val="24"/>
          <w:szCs w:val="24"/>
          <w:u w:val="single"/>
        </w:rPr>
        <w:t>Diagnostic partagé</w:t>
      </w:r>
      <w:bookmarkEnd w:id="7"/>
      <w:bookmarkEnd w:id="8"/>
      <w:bookmarkEnd w:id="9"/>
      <w:r w:rsidRPr="003D3D43">
        <w:rPr>
          <w:rFonts w:ascii="Arial" w:hAnsi="Arial" w:cs="Arial"/>
          <w:b/>
          <w:bCs/>
          <w:sz w:val="24"/>
          <w:szCs w:val="24"/>
          <w:u w:val="single"/>
        </w:rPr>
        <w:t> </w:t>
      </w:r>
    </w:p>
    <w:p w14:paraId="0292C1BA" w14:textId="77777777" w:rsidR="002042C6" w:rsidRPr="003D3D43" w:rsidRDefault="002042C6" w:rsidP="003D3D43">
      <w:pPr>
        <w:jc w:val="both"/>
        <w:rPr>
          <w:rFonts w:cs="Arial"/>
          <w:b/>
          <w:sz w:val="22"/>
          <w:szCs w:val="22"/>
        </w:rPr>
      </w:pPr>
    </w:p>
    <w:p w14:paraId="7021CBDE" w14:textId="77777777" w:rsidR="003D3390" w:rsidRPr="003D3D43" w:rsidRDefault="003D3390" w:rsidP="003D3D43">
      <w:pPr>
        <w:autoSpaceDE w:val="0"/>
        <w:autoSpaceDN w:val="0"/>
        <w:adjustRightInd w:val="0"/>
        <w:ind w:right="-333"/>
        <w:jc w:val="both"/>
        <w:rPr>
          <w:rFonts w:cs="Arial"/>
        </w:rPr>
      </w:pPr>
      <w:bookmarkStart w:id="10" w:name="_Hlk66711569"/>
      <w:r w:rsidRPr="003D3D43">
        <w:rPr>
          <w:rFonts w:cs="Arial"/>
        </w:rPr>
        <w:t>Dans le respect des dispositions législatives et règlementaires en vigueur, les parties conviennent d’établir leurs relations dans le cadre d’une démarche volontaire et conjointe de transparence et d’engagement réciproque tant dans les actions entreprises, l’attribution et la gestion des moyens budgétaires que dans l’évaluation des résultats atteints en fonction des objectifs définis en commun.</w:t>
      </w:r>
    </w:p>
    <w:p w14:paraId="76171F89" w14:textId="77777777" w:rsidR="003D3390" w:rsidRPr="003D3D43" w:rsidRDefault="003D3390" w:rsidP="003D3D43">
      <w:pPr>
        <w:pStyle w:val="Sansinterligne"/>
        <w:jc w:val="both"/>
        <w:rPr>
          <w:rFonts w:cs="Arial"/>
        </w:rPr>
      </w:pPr>
    </w:p>
    <w:p w14:paraId="567D605B" w14:textId="71D30C9A" w:rsidR="002042C6" w:rsidRPr="003D3D43" w:rsidRDefault="003D3390" w:rsidP="003D3D43">
      <w:pPr>
        <w:pStyle w:val="Sansinterligne"/>
        <w:jc w:val="both"/>
        <w:rPr>
          <w:rFonts w:eastAsia="Calibri" w:cs="Arial"/>
        </w:rPr>
      </w:pPr>
      <w:r w:rsidRPr="003D3D43">
        <w:rPr>
          <w:rFonts w:cs="Arial"/>
        </w:rPr>
        <w:t xml:space="preserve">Pour définir le cadre des engagements techniques et financiers entre les parties, un diagnostic préalable de la situation financière, budgétaire et des modalités d’organisation </w:t>
      </w:r>
      <w:r w:rsidRPr="003D3D43">
        <w:rPr>
          <w:rFonts w:eastAsia="Calibri" w:cs="Arial"/>
        </w:rPr>
        <w:t xml:space="preserve">et de fonctionnement des ESMS </w:t>
      </w:r>
      <w:r w:rsidR="00543AE9" w:rsidRPr="003D3D43">
        <w:rPr>
          <w:rFonts w:eastAsia="Calibri" w:cs="Arial"/>
        </w:rPr>
        <w:t xml:space="preserve">est réalisé. </w:t>
      </w:r>
    </w:p>
    <w:p w14:paraId="6ECC824C" w14:textId="443FB56F" w:rsidR="008E3663" w:rsidRPr="003D3D43" w:rsidRDefault="001E6E6B" w:rsidP="003D3D43">
      <w:pPr>
        <w:pStyle w:val="Sansinterligne"/>
        <w:jc w:val="both"/>
        <w:rPr>
          <w:rFonts w:eastAsia="Calibri" w:cs="Arial"/>
        </w:rPr>
      </w:pPr>
      <w:r w:rsidRPr="003D3D43">
        <w:rPr>
          <w:rFonts w:eastAsia="Calibri" w:cs="Arial"/>
        </w:rPr>
        <w:t xml:space="preserve">Le diagnostic partagé </w:t>
      </w:r>
      <w:r w:rsidR="008E3663" w:rsidRPr="003D3D43">
        <w:rPr>
          <w:rFonts w:eastAsia="Calibri" w:cs="Arial"/>
        </w:rPr>
        <w:t>(</w:t>
      </w:r>
      <w:r w:rsidR="008E3663" w:rsidRPr="003D3D43">
        <w:rPr>
          <w:rFonts w:eastAsia="Calibri" w:cs="Arial"/>
          <w:b/>
          <w:bCs/>
        </w:rPr>
        <w:t xml:space="preserve">annexe 2a </w:t>
      </w:r>
      <w:r w:rsidR="008E3663" w:rsidRPr="003D3D43">
        <w:rPr>
          <w:rFonts w:eastAsia="Calibri" w:cs="Arial"/>
        </w:rPr>
        <w:t xml:space="preserve">pour </w:t>
      </w:r>
      <w:r w:rsidR="002639B5" w:rsidRPr="003D3D43">
        <w:rPr>
          <w:rFonts w:eastAsia="Calibri" w:cs="Arial"/>
        </w:rPr>
        <w:t>l’OG</w:t>
      </w:r>
      <w:r w:rsidR="008E3663" w:rsidRPr="003D3D43">
        <w:rPr>
          <w:rFonts w:eastAsia="Calibri" w:cs="Arial"/>
        </w:rPr>
        <w:t>/</w:t>
      </w:r>
      <w:r w:rsidR="008E3663" w:rsidRPr="003D3D43">
        <w:rPr>
          <w:rFonts w:eastAsia="Calibri" w:cs="Arial"/>
          <w:b/>
          <w:bCs/>
        </w:rPr>
        <w:t xml:space="preserve"> annexe 2b </w:t>
      </w:r>
      <w:r w:rsidR="008E3663" w:rsidRPr="003D3D43">
        <w:rPr>
          <w:rFonts w:eastAsia="Calibri" w:cs="Arial"/>
        </w:rPr>
        <w:t>pour l’ESMS) s’appuie sur :</w:t>
      </w:r>
    </w:p>
    <w:p w14:paraId="0C13EC08" w14:textId="77777777" w:rsidR="008E3663" w:rsidRPr="003D3D43" w:rsidRDefault="008E3663" w:rsidP="003D3D43">
      <w:pPr>
        <w:pStyle w:val="Sansinterligne"/>
        <w:jc w:val="both"/>
        <w:rPr>
          <w:rFonts w:eastAsia="Calibri" w:cs="Arial"/>
        </w:rPr>
      </w:pPr>
    </w:p>
    <w:p w14:paraId="33ADB62B" w14:textId="4D7F6B2E" w:rsidR="00BD5D1F" w:rsidRPr="003D3D43" w:rsidRDefault="008E3663" w:rsidP="00A33994">
      <w:pPr>
        <w:pStyle w:val="Paragraphedeliste"/>
        <w:numPr>
          <w:ilvl w:val="0"/>
          <w:numId w:val="19"/>
        </w:numPr>
        <w:pBdr>
          <w:top w:val="nil"/>
          <w:left w:val="nil"/>
          <w:bottom w:val="nil"/>
          <w:right w:val="nil"/>
          <w:between w:val="nil"/>
        </w:pBdr>
        <w:jc w:val="both"/>
        <w:rPr>
          <w:rFonts w:cs="Arial"/>
        </w:rPr>
      </w:pPr>
      <w:r w:rsidRPr="003D3D43">
        <w:rPr>
          <w:rFonts w:cs="Arial"/>
          <w:color w:val="000000"/>
        </w:rPr>
        <w:t xml:space="preserve">Le </w:t>
      </w:r>
      <w:r w:rsidR="00A41CEB" w:rsidRPr="003D3D43">
        <w:rPr>
          <w:rFonts w:cs="Arial"/>
          <w:color w:val="000000"/>
        </w:rPr>
        <w:t>diagnostic interne</w:t>
      </w:r>
      <w:r w:rsidR="00A41CEB" w:rsidRPr="003D3D43">
        <w:rPr>
          <w:rFonts w:cs="Arial"/>
          <w:b/>
          <w:bCs/>
          <w:color w:val="000000"/>
        </w:rPr>
        <w:t> </w:t>
      </w:r>
      <w:r w:rsidR="002639B5" w:rsidRPr="003D3D43">
        <w:rPr>
          <w:rFonts w:cs="Arial"/>
          <w:color w:val="000000"/>
        </w:rPr>
        <w:t>de l’OG/ESMS</w:t>
      </w:r>
      <w:r w:rsidRPr="003D3D43">
        <w:rPr>
          <w:rFonts w:cs="Arial"/>
          <w:color w:val="000000"/>
        </w:rPr>
        <w:t xml:space="preserve"> qui analyse ses points forts et ses points de progrès sur ces grandes dimensions (efficience économique, RH, qualité, accompagnement de l’usager</w:t>
      </w:r>
      <w:r w:rsidR="00BD5D1F" w:rsidRPr="003D3D43">
        <w:rPr>
          <w:rFonts w:cs="Arial"/>
          <w:color w:val="000000"/>
        </w:rPr>
        <w:t xml:space="preserve">, prévention et maitrise des risques, coopérations/mutualisations). </w:t>
      </w:r>
    </w:p>
    <w:p w14:paraId="6E0F92E1" w14:textId="69DAEAD5" w:rsidR="00A41CEB" w:rsidRPr="003D3D43" w:rsidRDefault="00BD5D1F" w:rsidP="003D3D43">
      <w:pPr>
        <w:pStyle w:val="Paragraphedeliste"/>
        <w:pBdr>
          <w:top w:val="nil"/>
          <w:left w:val="nil"/>
          <w:bottom w:val="nil"/>
          <w:right w:val="nil"/>
          <w:between w:val="nil"/>
        </w:pBdr>
        <w:jc w:val="both"/>
        <w:rPr>
          <w:rFonts w:cs="Arial"/>
        </w:rPr>
      </w:pPr>
      <w:r w:rsidRPr="003D3D43">
        <w:rPr>
          <w:rFonts w:cs="Arial"/>
          <w:color w:val="000000"/>
        </w:rPr>
        <w:t>Il repose notamment sur les éléments suivants :</w:t>
      </w:r>
    </w:p>
    <w:p w14:paraId="655BF44F" w14:textId="7ED9EC8F" w:rsidR="008E3663" w:rsidRPr="003D3D43" w:rsidRDefault="008E3663" w:rsidP="00A33994">
      <w:pPr>
        <w:pStyle w:val="Sansinterligne"/>
        <w:numPr>
          <w:ilvl w:val="0"/>
          <w:numId w:val="20"/>
        </w:numPr>
        <w:jc w:val="both"/>
        <w:rPr>
          <w:rFonts w:eastAsia="Calibri" w:cs="Arial"/>
        </w:rPr>
      </w:pPr>
      <w:r w:rsidRPr="003D3D43">
        <w:rPr>
          <w:rFonts w:eastAsia="Calibri" w:cs="Arial"/>
        </w:rPr>
        <w:t>Les indicateurs (ceux du gestionnaire, tableaux de bord ANAP) ;</w:t>
      </w:r>
    </w:p>
    <w:p w14:paraId="13B86B3F" w14:textId="67B558DC" w:rsidR="008E3663" w:rsidRPr="003D3D43" w:rsidRDefault="008E3663" w:rsidP="00A33994">
      <w:pPr>
        <w:pStyle w:val="Sansinterligne"/>
        <w:numPr>
          <w:ilvl w:val="0"/>
          <w:numId w:val="20"/>
        </w:numPr>
        <w:jc w:val="both"/>
        <w:rPr>
          <w:rFonts w:eastAsia="Calibri" w:cs="Arial"/>
        </w:rPr>
      </w:pPr>
      <w:r w:rsidRPr="003D3D43">
        <w:rPr>
          <w:rFonts w:eastAsia="Calibri" w:cs="Arial"/>
        </w:rPr>
        <w:t>Les évaluations internes et externes ;</w:t>
      </w:r>
    </w:p>
    <w:p w14:paraId="24F6FC9F" w14:textId="331ECDA9" w:rsidR="008E3663" w:rsidRPr="003D3D43" w:rsidRDefault="008E3663" w:rsidP="00A33994">
      <w:pPr>
        <w:pStyle w:val="Sansinterligne"/>
        <w:numPr>
          <w:ilvl w:val="0"/>
          <w:numId w:val="20"/>
        </w:numPr>
        <w:jc w:val="both"/>
        <w:rPr>
          <w:rFonts w:eastAsia="Calibri" w:cs="Arial"/>
        </w:rPr>
      </w:pPr>
      <w:r w:rsidRPr="003D3D43">
        <w:rPr>
          <w:rFonts w:eastAsia="Calibri" w:cs="Arial"/>
        </w:rPr>
        <w:t>Le cas échéant, le</w:t>
      </w:r>
      <w:r w:rsidR="0000784C" w:rsidRPr="003D3D43">
        <w:rPr>
          <w:rFonts w:eastAsia="Calibri" w:cs="Arial"/>
        </w:rPr>
        <w:t>s</w:t>
      </w:r>
      <w:r w:rsidRPr="003D3D43">
        <w:rPr>
          <w:rFonts w:eastAsia="Calibri" w:cs="Arial"/>
        </w:rPr>
        <w:t xml:space="preserve"> indicateurs territoriaux ;</w:t>
      </w:r>
    </w:p>
    <w:p w14:paraId="32462419" w14:textId="71C0704B" w:rsidR="008E3663" w:rsidRPr="003D3D43" w:rsidRDefault="008E3663" w:rsidP="00A33994">
      <w:pPr>
        <w:pStyle w:val="Sansinterligne"/>
        <w:numPr>
          <w:ilvl w:val="0"/>
          <w:numId w:val="20"/>
        </w:numPr>
        <w:jc w:val="both"/>
        <w:rPr>
          <w:rFonts w:eastAsia="Calibri" w:cs="Arial"/>
        </w:rPr>
      </w:pPr>
      <w:r w:rsidRPr="003D3D43">
        <w:rPr>
          <w:rFonts w:eastAsia="Calibri" w:cs="Arial"/>
        </w:rPr>
        <w:t>Les enquêtes </w:t>
      </w:r>
      <w:r w:rsidR="002639B5" w:rsidRPr="003D3D43">
        <w:rPr>
          <w:rFonts w:eastAsia="Calibri" w:cs="Arial"/>
        </w:rPr>
        <w:t>internes.</w:t>
      </w:r>
    </w:p>
    <w:p w14:paraId="73915C0F" w14:textId="77777777" w:rsidR="008E3663" w:rsidRPr="003D3D43" w:rsidRDefault="008E3663" w:rsidP="003D3D43">
      <w:pPr>
        <w:pStyle w:val="Paragraphedeliste"/>
        <w:pBdr>
          <w:top w:val="nil"/>
          <w:left w:val="nil"/>
          <w:bottom w:val="nil"/>
          <w:right w:val="nil"/>
          <w:between w:val="nil"/>
        </w:pBdr>
        <w:jc w:val="both"/>
        <w:rPr>
          <w:rFonts w:cs="Arial"/>
        </w:rPr>
      </w:pPr>
    </w:p>
    <w:p w14:paraId="6682B008" w14:textId="75010757" w:rsidR="00A41CEB" w:rsidRPr="003D3D43" w:rsidRDefault="00A41CEB" w:rsidP="00A33994">
      <w:pPr>
        <w:numPr>
          <w:ilvl w:val="0"/>
          <w:numId w:val="7"/>
        </w:numPr>
        <w:pBdr>
          <w:top w:val="nil"/>
          <w:left w:val="nil"/>
          <w:bottom w:val="nil"/>
          <w:right w:val="nil"/>
          <w:between w:val="nil"/>
        </w:pBdr>
        <w:jc w:val="both"/>
        <w:rPr>
          <w:rFonts w:cs="Arial"/>
        </w:rPr>
      </w:pPr>
      <w:r w:rsidRPr="003D3D43">
        <w:rPr>
          <w:rFonts w:cs="Arial"/>
          <w:color w:val="000000"/>
        </w:rPr>
        <w:lastRenderedPageBreak/>
        <w:t>Le diagnostic externe</w:t>
      </w:r>
      <w:r w:rsidR="002639B5" w:rsidRPr="003D3D43">
        <w:rPr>
          <w:rFonts w:cs="Arial"/>
          <w:b/>
          <w:bCs/>
          <w:color w:val="000000"/>
        </w:rPr>
        <w:t xml:space="preserve"> </w:t>
      </w:r>
      <w:r w:rsidR="002639B5" w:rsidRPr="003D3D43">
        <w:rPr>
          <w:rFonts w:cs="Arial"/>
          <w:color w:val="000000"/>
        </w:rPr>
        <w:t xml:space="preserve">vise à analyser les éléments externes pouvant avoir un impact sur </w:t>
      </w:r>
      <w:r w:rsidR="00EC48DA">
        <w:rPr>
          <w:rFonts w:cs="Arial"/>
          <w:color w:val="000000"/>
        </w:rPr>
        <w:t>le gestionnaire</w:t>
      </w:r>
      <w:r w:rsidR="002639B5" w:rsidRPr="003D3D43">
        <w:rPr>
          <w:rFonts w:cs="Arial"/>
          <w:color w:val="000000"/>
        </w:rPr>
        <w:t xml:space="preserve">. </w:t>
      </w:r>
    </w:p>
    <w:p w14:paraId="1B658C11" w14:textId="59D334F0" w:rsidR="002639B5" w:rsidRPr="003D3D43" w:rsidRDefault="002639B5" w:rsidP="003D3D43">
      <w:pPr>
        <w:pBdr>
          <w:top w:val="nil"/>
          <w:left w:val="nil"/>
          <w:bottom w:val="nil"/>
          <w:right w:val="nil"/>
          <w:between w:val="nil"/>
        </w:pBdr>
        <w:ind w:left="720"/>
        <w:jc w:val="both"/>
        <w:rPr>
          <w:rFonts w:cs="Arial"/>
          <w:color w:val="000000"/>
        </w:rPr>
      </w:pPr>
      <w:r w:rsidRPr="003D3D43">
        <w:rPr>
          <w:rFonts w:cs="Arial"/>
          <w:color w:val="000000"/>
        </w:rPr>
        <w:t xml:space="preserve">Il repose notamment sur les éléments suivants : </w:t>
      </w:r>
    </w:p>
    <w:p w14:paraId="694969DD" w14:textId="0A615D1E" w:rsidR="002639B5" w:rsidRPr="003D3D43" w:rsidRDefault="002639B5" w:rsidP="00A33994">
      <w:pPr>
        <w:pStyle w:val="Sansinterligne"/>
        <w:keepLines w:val="0"/>
        <w:numPr>
          <w:ilvl w:val="1"/>
          <w:numId w:val="19"/>
        </w:numPr>
        <w:jc w:val="both"/>
        <w:rPr>
          <w:rFonts w:cs="Arial"/>
        </w:rPr>
      </w:pPr>
      <w:r w:rsidRPr="003D3D43">
        <w:rPr>
          <w:rFonts w:cs="Arial"/>
        </w:rPr>
        <w:t xml:space="preserve">Le Schéma Régional de Santé (SRS) de Corse </w:t>
      </w:r>
      <w:r w:rsidRPr="003D3D43">
        <w:rPr>
          <w:rFonts w:cs="Arial"/>
          <w:color w:val="000000"/>
        </w:rPr>
        <w:t>2018-2023</w:t>
      </w:r>
      <w:r w:rsidRPr="003D3D43">
        <w:rPr>
          <w:rStyle w:val="Appelnotedebasdep"/>
          <w:rFonts w:cs="Arial"/>
          <w:color w:val="000000"/>
        </w:rPr>
        <w:footnoteReference w:id="1"/>
      </w:r>
      <w:r w:rsidRPr="003D3D43">
        <w:rPr>
          <w:rFonts w:cs="Arial"/>
        </w:rPr>
        <w:t> ;</w:t>
      </w:r>
    </w:p>
    <w:p w14:paraId="406F4510" w14:textId="5E7E8A3A" w:rsidR="002639B5" w:rsidRPr="003D3D43" w:rsidRDefault="002639B5" w:rsidP="00A33994">
      <w:pPr>
        <w:pStyle w:val="Sansinterligne"/>
        <w:keepLines w:val="0"/>
        <w:numPr>
          <w:ilvl w:val="1"/>
          <w:numId w:val="19"/>
        </w:numPr>
        <w:jc w:val="both"/>
        <w:rPr>
          <w:rFonts w:cs="Arial"/>
        </w:rPr>
      </w:pPr>
      <w:r w:rsidRPr="003D3D43">
        <w:rPr>
          <w:rFonts w:cs="Arial"/>
          <w:color w:val="000000"/>
        </w:rPr>
        <w:t>Le Programme Interdépartemental d’Accompagnement des handicaps et de la perte d’autonomie (PRIAC) de Corse 20</w:t>
      </w:r>
      <w:r w:rsidR="00EC48DA">
        <w:rPr>
          <w:rFonts w:cs="Arial"/>
          <w:color w:val="000000"/>
        </w:rPr>
        <w:t>19-2023</w:t>
      </w:r>
      <w:r w:rsidRPr="003D3D43">
        <w:rPr>
          <w:rFonts w:cs="Arial"/>
          <w:color w:val="000000"/>
          <w:vertAlign w:val="superscript"/>
        </w:rPr>
        <w:footnoteReference w:id="2"/>
      </w:r>
      <w:r w:rsidRPr="003D3D43">
        <w:rPr>
          <w:rFonts w:cs="Arial"/>
          <w:color w:val="000000"/>
        </w:rPr>
        <w:t> ;</w:t>
      </w:r>
    </w:p>
    <w:p w14:paraId="2ED11D62" w14:textId="0B528A12" w:rsidR="002639B5" w:rsidRPr="003D3D43" w:rsidRDefault="002639B5" w:rsidP="00A33994">
      <w:pPr>
        <w:pStyle w:val="Sansinterligne"/>
        <w:keepLines w:val="0"/>
        <w:numPr>
          <w:ilvl w:val="1"/>
          <w:numId w:val="19"/>
        </w:numPr>
        <w:jc w:val="both"/>
        <w:rPr>
          <w:rFonts w:cs="Arial"/>
        </w:rPr>
      </w:pPr>
      <w:r w:rsidRPr="003D3D43">
        <w:rPr>
          <w:rFonts w:cs="Arial"/>
          <w:color w:val="000000"/>
        </w:rPr>
        <w:t>La connaissance du tissu local par l’OG/ESMS.</w:t>
      </w:r>
    </w:p>
    <w:p w14:paraId="720A8815" w14:textId="77777777" w:rsidR="00841D41" w:rsidRPr="003D3D43" w:rsidRDefault="00841D41" w:rsidP="003D3D43">
      <w:pPr>
        <w:pBdr>
          <w:top w:val="nil"/>
          <w:left w:val="nil"/>
          <w:bottom w:val="nil"/>
          <w:right w:val="nil"/>
          <w:between w:val="nil"/>
        </w:pBdr>
        <w:jc w:val="both"/>
        <w:rPr>
          <w:rFonts w:cs="Arial"/>
          <w:color w:val="000000"/>
          <w:u w:val="single"/>
        </w:rPr>
      </w:pPr>
    </w:p>
    <w:p w14:paraId="4247C8B2" w14:textId="5E1133DF" w:rsidR="00841D41" w:rsidRPr="003D3D43" w:rsidRDefault="00FE25C2" w:rsidP="003D3D43">
      <w:pPr>
        <w:jc w:val="both"/>
        <w:rPr>
          <w:rFonts w:cs="Arial"/>
        </w:rPr>
      </w:pPr>
      <w:bookmarkStart w:id="11" w:name="_Hlk66695649"/>
      <w:r w:rsidRPr="003D3D43">
        <w:rPr>
          <w:rFonts w:cs="Arial"/>
        </w:rPr>
        <w:t xml:space="preserve">Un diagnostic partagé </w:t>
      </w:r>
      <w:r w:rsidR="008D2BE9" w:rsidRPr="003D3D43">
        <w:rPr>
          <w:rFonts w:cs="Arial"/>
        </w:rPr>
        <w:t>est</w:t>
      </w:r>
      <w:r w:rsidRPr="003D3D43">
        <w:rPr>
          <w:rFonts w:cs="Arial"/>
        </w:rPr>
        <w:t xml:space="preserve"> réalisé p</w:t>
      </w:r>
      <w:r w:rsidR="008D2BE9" w:rsidRPr="003D3D43">
        <w:rPr>
          <w:rFonts w:cs="Arial"/>
        </w:rPr>
        <w:t>ar</w:t>
      </w:r>
      <w:r w:rsidR="002639B5" w:rsidRPr="003D3D43">
        <w:rPr>
          <w:rFonts w:cs="Arial"/>
        </w:rPr>
        <w:t xml:space="preserve"> l’OG </w:t>
      </w:r>
      <w:r w:rsidRPr="003D3D43">
        <w:rPr>
          <w:rFonts w:cs="Arial"/>
        </w:rPr>
        <w:t>et</w:t>
      </w:r>
      <w:r w:rsidR="002639B5" w:rsidRPr="003D3D43">
        <w:rPr>
          <w:rFonts w:cs="Arial"/>
        </w:rPr>
        <w:t>, le cas échéant,</w:t>
      </w:r>
      <w:r w:rsidRPr="003D3D43">
        <w:rPr>
          <w:rFonts w:cs="Arial"/>
        </w:rPr>
        <w:t xml:space="preserve"> p</w:t>
      </w:r>
      <w:r w:rsidR="008D2BE9" w:rsidRPr="003D3D43">
        <w:rPr>
          <w:rFonts w:cs="Arial"/>
        </w:rPr>
        <w:t>ar</w:t>
      </w:r>
      <w:r w:rsidRPr="003D3D43">
        <w:rPr>
          <w:rFonts w:cs="Arial"/>
        </w:rPr>
        <w:t xml:space="preserve"> chacun des établissements entrant dans le périmètre du CPOM.</w:t>
      </w:r>
      <w:r w:rsidR="008D2BE9" w:rsidRPr="003D3D43">
        <w:rPr>
          <w:rFonts w:cs="Arial"/>
        </w:rPr>
        <w:t xml:space="preserve"> Il </w:t>
      </w:r>
      <w:bookmarkEnd w:id="11"/>
      <w:r w:rsidR="00841D41" w:rsidRPr="003D3D43">
        <w:rPr>
          <w:rFonts w:cs="Arial"/>
        </w:rPr>
        <w:t>fait l’objet d’une synthèse partagée (</w:t>
      </w:r>
      <w:r w:rsidR="00841D41" w:rsidRPr="003D3D43">
        <w:rPr>
          <w:rFonts w:cs="Arial"/>
          <w:b/>
          <w:bCs/>
        </w:rPr>
        <w:t>annexe 3</w:t>
      </w:r>
      <w:r w:rsidR="00841D41" w:rsidRPr="003D3D43">
        <w:rPr>
          <w:rFonts w:cs="Arial"/>
        </w:rPr>
        <w:t>)</w:t>
      </w:r>
      <w:r w:rsidR="008D2BE9" w:rsidRPr="003D3D43">
        <w:rPr>
          <w:rFonts w:cs="Arial"/>
        </w:rPr>
        <w:t xml:space="preserve"> entre les parties du contrat et permet d’identifier les objectifs fixés dans le cadre du CPOM.</w:t>
      </w:r>
    </w:p>
    <w:p w14:paraId="0E7DEB94" w14:textId="35C40DFB" w:rsidR="002042C6" w:rsidRPr="003D3D43" w:rsidRDefault="001532C5" w:rsidP="003D3D43">
      <w:pPr>
        <w:jc w:val="both"/>
        <w:rPr>
          <w:rFonts w:cs="Arial"/>
        </w:rPr>
      </w:pPr>
      <w:r w:rsidRPr="003D3D43">
        <w:rPr>
          <w:rFonts w:cs="Arial"/>
        </w:rPr>
        <w:t xml:space="preserve">Le diagnostic partagé est réalisé à l’aide de </w:t>
      </w:r>
      <w:r w:rsidR="00EC48DA" w:rsidRPr="003D3D43">
        <w:rPr>
          <w:rFonts w:cs="Arial"/>
        </w:rPr>
        <w:t>l</w:t>
      </w:r>
      <w:proofErr w:type="gramStart"/>
      <w:r w:rsidR="00EC48DA" w:rsidRPr="003D3D43">
        <w:rPr>
          <w:rFonts w:cs="Arial"/>
        </w:rPr>
        <w:t>’«</w:t>
      </w:r>
      <w:proofErr w:type="gramEnd"/>
      <w:r w:rsidRPr="003D3D43">
        <w:rPr>
          <w:rFonts w:cs="Arial"/>
        </w:rPr>
        <w:t xml:space="preserve"> Outil diagnostic </w:t>
      </w:r>
      <w:r w:rsidR="003C65E0" w:rsidRPr="003D3D43">
        <w:rPr>
          <w:rFonts w:cs="Arial"/>
        </w:rPr>
        <w:t xml:space="preserve">commun </w:t>
      </w:r>
      <w:r w:rsidRPr="003D3D43">
        <w:rPr>
          <w:rFonts w:cs="Arial"/>
        </w:rPr>
        <w:t>secteur</w:t>
      </w:r>
      <w:r w:rsidR="003C65E0" w:rsidRPr="003D3D43">
        <w:rPr>
          <w:rFonts w:cs="Arial"/>
        </w:rPr>
        <w:t>s</w:t>
      </w:r>
      <w:r w:rsidR="00651AD0" w:rsidRPr="003D3D43">
        <w:rPr>
          <w:rFonts w:cs="Arial"/>
        </w:rPr>
        <w:t xml:space="preserve"> PA &amp;</w:t>
      </w:r>
      <w:r w:rsidRPr="003D3D43">
        <w:rPr>
          <w:rFonts w:cs="Arial"/>
        </w:rPr>
        <w:t xml:space="preserve"> PH » (fichier Excel).</w:t>
      </w:r>
    </w:p>
    <w:bookmarkEnd w:id="10"/>
    <w:p w14:paraId="2EAF1A7F" w14:textId="77777777" w:rsidR="001532C5" w:rsidRPr="003D3D43" w:rsidRDefault="001532C5" w:rsidP="003D3D43">
      <w:pPr>
        <w:jc w:val="both"/>
        <w:rPr>
          <w:rFonts w:cs="Arial"/>
        </w:rPr>
      </w:pPr>
    </w:p>
    <w:p w14:paraId="0FBA60C7" w14:textId="05D1CA38" w:rsidR="00943A7A" w:rsidRPr="003D3D43" w:rsidRDefault="00943A7A" w:rsidP="003D3D43">
      <w:pPr>
        <w:pStyle w:val="Titre2"/>
        <w:jc w:val="both"/>
        <w:rPr>
          <w:rFonts w:ascii="Arial" w:hAnsi="Arial" w:cs="Arial"/>
          <w:b/>
          <w:bCs/>
          <w:sz w:val="24"/>
          <w:szCs w:val="24"/>
          <w:u w:val="single"/>
        </w:rPr>
      </w:pPr>
      <w:bookmarkStart w:id="12" w:name="_Toc69303800"/>
      <w:r w:rsidRPr="003D3D43">
        <w:rPr>
          <w:rFonts w:ascii="Arial" w:hAnsi="Arial" w:cs="Arial"/>
          <w:b/>
          <w:bCs/>
          <w:sz w:val="24"/>
          <w:szCs w:val="24"/>
          <w:u w:val="single"/>
        </w:rPr>
        <w:t xml:space="preserve">Article </w:t>
      </w:r>
      <w:r w:rsidR="002042C6" w:rsidRPr="003D3D43">
        <w:rPr>
          <w:rFonts w:ascii="Arial" w:hAnsi="Arial" w:cs="Arial"/>
          <w:b/>
          <w:bCs/>
          <w:sz w:val="24"/>
          <w:szCs w:val="24"/>
          <w:u w:val="single"/>
        </w:rPr>
        <w:t>3</w:t>
      </w:r>
      <w:r w:rsidR="002042C6" w:rsidRPr="003D3D43">
        <w:rPr>
          <w:rFonts w:ascii="Arial" w:hAnsi="Arial" w:cs="Arial"/>
          <w:b/>
          <w:bCs/>
          <w:sz w:val="24"/>
          <w:szCs w:val="24"/>
        </w:rPr>
        <w:t xml:space="preserve"> </w:t>
      </w:r>
      <w:r w:rsidRPr="003D3D43">
        <w:rPr>
          <w:rFonts w:ascii="Arial" w:hAnsi="Arial" w:cs="Arial"/>
          <w:b/>
          <w:bCs/>
          <w:sz w:val="24"/>
          <w:szCs w:val="24"/>
        </w:rPr>
        <w:t xml:space="preserve">– </w:t>
      </w:r>
      <w:r w:rsidRPr="003D3D43">
        <w:rPr>
          <w:rFonts w:ascii="Arial" w:hAnsi="Arial" w:cs="Arial"/>
          <w:b/>
          <w:bCs/>
          <w:sz w:val="24"/>
          <w:szCs w:val="24"/>
          <w:u w:val="single"/>
        </w:rPr>
        <w:t>Objectifs fixés dans le cadre du CPOM sur la base du diagnostic partagé</w:t>
      </w:r>
      <w:bookmarkEnd w:id="12"/>
    </w:p>
    <w:p w14:paraId="5C478548" w14:textId="3ED10B2D" w:rsidR="00841D41" w:rsidRPr="003D3D43" w:rsidRDefault="00841D41" w:rsidP="003D3D43">
      <w:pPr>
        <w:jc w:val="both"/>
        <w:rPr>
          <w:rFonts w:cs="Arial"/>
        </w:rPr>
      </w:pPr>
    </w:p>
    <w:p w14:paraId="33709BBA" w14:textId="2DB128BD" w:rsidR="00841D41" w:rsidRPr="003D3D43" w:rsidRDefault="00841D41" w:rsidP="003D3D43">
      <w:pPr>
        <w:jc w:val="both"/>
        <w:rPr>
          <w:rFonts w:cs="Arial"/>
          <w:color w:val="000000"/>
        </w:rPr>
      </w:pPr>
      <w:bookmarkStart w:id="13" w:name="_Hlk66439063"/>
      <w:r w:rsidRPr="003D3D43">
        <w:rPr>
          <w:rFonts w:cs="Arial"/>
          <w:color w:val="000000"/>
        </w:rPr>
        <w:t>Le CPOM fixe les objectifs concertés entre les différentes parties</w:t>
      </w:r>
      <w:r w:rsidR="00D6651C" w:rsidRPr="003D3D43">
        <w:rPr>
          <w:rFonts w:cs="Arial"/>
          <w:color w:val="000000"/>
        </w:rPr>
        <w:t xml:space="preserve"> prenantes</w:t>
      </w:r>
      <w:r w:rsidRPr="003D3D43">
        <w:rPr>
          <w:rFonts w:cs="Arial"/>
          <w:color w:val="000000"/>
        </w:rPr>
        <w:t xml:space="preserve"> au contrat</w:t>
      </w:r>
      <w:r w:rsidR="00D6651C" w:rsidRPr="003D3D43">
        <w:rPr>
          <w:rFonts w:cs="Arial"/>
          <w:color w:val="000000"/>
        </w:rPr>
        <w:t xml:space="preserve"> à l’issue de la réunion bi ou tripartite du diagnostic partagé. </w:t>
      </w:r>
    </w:p>
    <w:p w14:paraId="05EAB733" w14:textId="63A5CF50" w:rsidR="0063199B" w:rsidRPr="003D3D43" w:rsidRDefault="00D6651C" w:rsidP="003D3D43">
      <w:pPr>
        <w:jc w:val="both"/>
        <w:rPr>
          <w:rFonts w:cs="Arial"/>
          <w:color w:val="000000"/>
        </w:rPr>
      </w:pPr>
      <w:r w:rsidRPr="003D3D43">
        <w:rPr>
          <w:rFonts w:cs="Arial"/>
          <w:color w:val="000000"/>
        </w:rPr>
        <w:t>Les objectifs du gestionnaire sont regroupés selon les priorités définies dans le PRS</w:t>
      </w:r>
      <w:r w:rsidR="0063199B" w:rsidRPr="003D3D43">
        <w:rPr>
          <w:rFonts w:cs="Arial"/>
          <w:color w:val="000000"/>
        </w:rPr>
        <w:t> :</w:t>
      </w:r>
    </w:p>
    <w:p w14:paraId="6B0F19EF" w14:textId="77777777" w:rsidR="0063199B" w:rsidRPr="003D3D43" w:rsidRDefault="0063199B" w:rsidP="003D3D43">
      <w:pPr>
        <w:jc w:val="both"/>
        <w:rPr>
          <w:rFonts w:cs="Arial"/>
          <w:color w:val="000000"/>
        </w:rPr>
      </w:pPr>
    </w:p>
    <w:p w14:paraId="3B2331CA" w14:textId="007C9144" w:rsidR="00D6651C" w:rsidRPr="003D3D43" w:rsidRDefault="0063199B" w:rsidP="00A33994">
      <w:pPr>
        <w:pStyle w:val="Paragraphedeliste"/>
        <w:numPr>
          <w:ilvl w:val="0"/>
          <w:numId w:val="19"/>
        </w:numPr>
        <w:jc w:val="both"/>
        <w:rPr>
          <w:rFonts w:cs="Arial"/>
          <w:color w:val="000000"/>
        </w:rPr>
      </w:pPr>
      <w:r w:rsidRPr="003D3D43">
        <w:rPr>
          <w:rFonts w:cs="Arial"/>
          <w:color w:val="000000"/>
        </w:rPr>
        <w:t>P</w:t>
      </w:r>
      <w:r w:rsidR="00651AD0" w:rsidRPr="003D3D43">
        <w:rPr>
          <w:rFonts w:cs="Arial"/>
          <w:color w:val="000000"/>
        </w:rPr>
        <w:t xml:space="preserve">our </w:t>
      </w:r>
      <w:r w:rsidRPr="003D3D43">
        <w:rPr>
          <w:rFonts w:cs="Arial"/>
          <w:color w:val="000000"/>
        </w:rPr>
        <w:t xml:space="preserve">le secteur </w:t>
      </w:r>
      <w:r w:rsidR="00651AD0" w:rsidRPr="003D3D43">
        <w:rPr>
          <w:rFonts w:cs="Arial"/>
          <w:color w:val="000000"/>
        </w:rPr>
        <w:t>PH</w:t>
      </w:r>
      <w:r w:rsidR="00D6651C" w:rsidRPr="003D3D43">
        <w:rPr>
          <w:rFonts w:cs="Arial"/>
          <w:color w:val="000000"/>
        </w:rPr>
        <w:t xml:space="preserve"> : </w:t>
      </w:r>
    </w:p>
    <w:bookmarkEnd w:id="13"/>
    <w:p w14:paraId="2BEDC153" w14:textId="77777777" w:rsidR="001532C5" w:rsidRPr="003D3D43" w:rsidRDefault="00D6651C" w:rsidP="00A33994">
      <w:pPr>
        <w:pStyle w:val="Sansinterligne"/>
        <w:numPr>
          <w:ilvl w:val="1"/>
          <w:numId w:val="28"/>
        </w:numPr>
        <w:jc w:val="both"/>
        <w:rPr>
          <w:rFonts w:eastAsiaTheme="minorHAnsi" w:cs="Arial"/>
          <w:sz w:val="14"/>
          <w:szCs w:val="14"/>
        </w:rPr>
      </w:pPr>
      <w:r w:rsidRPr="003D3D43">
        <w:rPr>
          <w:rFonts w:eastAsia="Calibri" w:cs="Arial"/>
        </w:rPr>
        <w:t>Adaptation des parcours </w:t>
      </w:r>
    </w:p>
    <w:p w14:paraId="7B8A07F7" w14:textId="43A3E0C1" w:rsidR="00D6651C" w:rsidRPr="003D3D43" w:rsidRDefault="00D6651C" w:rsidP="00A33994">
      <w:pPr>
        <w:pStyle w:val="Sansinterligne"/>
        <w:numPr>
          <w:ilvl w:val="1"/>
          <w:numId w:val="28"/>
        </w:numPr>
        <w:jc w:val="both"/>
        <w:rPr>
          <w:rFonts w:eastAsiaTheme="minorHAnsi" w:cs="Arial"/>
          <w:sz w:val="14"/>
          <w:szCs w:val="14"/>
        </w:rPr>
      </w:pPr>
      <w:r w:rsidRPr="003D3D43">
        <w:rPr>
          <w:rFonts w:eastAsia="Calibri" w:cs="Arial"/>
        </w:rPr>
        <w:t>Maîtrise et prévention des risques </w:t>
      </w:r>
    </w:p>
    <w:p w14:paraId="095DCCE2" w14:textId="582DEDD2" w:rsidR="00D6651C" w:rsidRPr="003D3D43" w:rsidRDefault="00D6651C" w:rsidP="00A33994">
      <w:pPr>
        <w:pStyle w:val="Sansinterligne"/>
        <w:numPr>
          <w:ilvl w:val="1"/>
          <w:numId w:val="28"/>
        </w:numPr>
        <w:jc w:val="both"/>
        <w:rPr>
          <w:rFonts w:cs="Arial"/>
          <w:sz w:val="14"/>
          <w:szCs w:val="14"/>
        </w:rPr>
      </w:pPr>
      <w:r w:rsidRPr="003D3D43">
        <w:rPr>
          <w:rFonts w:eastAsia="Calibri" w:cs="Arial"/>
        </w:rPr>
        <w:t>Efficience et innovation des organisations</w:t>
      </w:r>
    </w:p>
    <w:p w14:paraId="3B813D35" w14:textId="705FB0C2" w:rsidR="00D6651C" w:rsidRPr="003D3D43" w:rsidRDefault="00D6651C" w:rsidP="00A33994">
      <w:pPr>
        <w:pStyle w:val="Sansinterligne"/>
        <w:numPr>
          <w:ilvl w:val="1"/>
          <w:numId w:val="28"/>
        </w:numPr>
        <w:jc w:val="both"/>
        <w:rPr>
          <w:rFonts w:cs="Arial"/>
          <w:color w:val="000000"/>
        </w:rPr>
      </w:pPr>
      <w:r w:rsidRPr="003D3D43">
        <w:rPr>
          <w:rFonts w:eastAsia="Calibri" w:cs="Arial"/>
        </w:rPr>
        <w:t>Réponse aux besoins territoriaux</w:t>
      </w:r>
    </w:p>
    <w:p w14:paraId="220CFFAF" w14:textId="2AD3E7F8" w:rsidR="00651AD0" w:rsidRPr="003D3D43" w:rsidRDefault="00651AD0" w:rsidP="003D3D43">
      <w:pPr>
        <w:jc w:val="both"/>
        <w:rPr>
          <w:rFonts w:cs="Arial"/>
          <w:bCs/>
          <w:color w:val="000000"/>
        </w:rPr>
      </w:pPr>
    </w:p>
    <w:p w14:paraId="1E76D2E9" w14:textId="13444FBA" w:rsidR="00651AD0" w:rsidRPr="003D3D43" w:rsidRDefault="0063199B" w:rsidP="00A33994">
      <w:pPr>
        <w:pStyle w:val="Paragraphedeliste"/>
        <w:numPr>
          <w:ilvl w:val="0"/>
          <w:numId w:val="19"/>
        </w:numPr>
        <w:jc w:val="both"/>
        <w:rPr>
          <w:rFonts w:cs="Arial"/>
          <w:bCs/>
          <w:color w:val="000000"/>
        </w:rPr>
      </w:pPr>
      <w:r w:rsidRPr="003D3D43">
        <w:rPr>
          <w:rFonts w:cs="Arial"/>
          <w:bCs/>
          <w:color w:val="000000"/>
        </w:rPr>
        <w:t xml:space="preserve">Pour le secteur </w:t>
      </w:r>
      <w:r w:rsidR="00651AD0" w:rsidRPr="003D3D43">
        <w:rPr>
          <w:rFonts w:cs="Arial"/>
          <w:bCs/>
          <w:color w:val="000000"/>
        </w:rPr>
        <w:t>PA :</w:t>
      </w:r>
    </w:p>
    <w:p w14:paraId="0A38D7CB" w14:textId="77777777" w:rsidR="00651AD0" w:rsidRPr="003D3D43" w:rsidRDefault="00651AD0" w:rsidP="00A33994">
      <w:pPr>
        <w:pStyle w:val="Paragraphedeliste"/>
        <w:numPr>
          <w:ilvl w:val="1"/>
          <w:numId w:val="27"/>
        </w:numPr>
        <w:jc w:val="both"/>
        <w:rPr>
          <w:rFonts w:cs="Arial"/>
          <w:bCs/>
        </w:rPr>
      </w:pPr>
      <w:r w:rsidRPr="003D3D43">
        <w:rPr>
          <w:rFonts w:cs="Arial"/>
          <w:bCs/>
        </w:rPr>
        <w:t>Qualité du service rendu et de l’accompagnement de l’usager </w:t>
      </w:r>
    </w:p>
    <w:p w14:paraId="41BB31FB" w14:textId="77777777" w:rsidR="00651AD0" w:rsidRPr="003D3D43" w:rsidRDefault="00651AD0" w:rsidP="00A33994">
      <w:pPr>
        <w:pStyle w:val="Paragraphedeliste"/>
        <w:numPr>
          <w:ilvl w:val="1"/>
          <w:numId w:val="27"/>
        </w:numPr>
        <w:pBdr>
          <w:top w:val="nil"/>
          <w:left w:val="nil"/>
          <w:bottom w:val="nil"/>
          <w:right w:val="nil"/>
          <w:between w:val="nil"/>
        </w:pBdr>
        <w:jc w:val="both"/>
        <w:rPr>
          <w:rFonts w:cs="Arial"/>
          <w:bCs/>
          <w:color w:val="000000"/>
        </w:rPr>
      </w:pPr>
      <w:r w:rsidRPr="003D3D43">
        <w:rPr>
          <w:rFonts w:cs="Arial"/>
          <w:bCs/>
          <w:color w:val="000000"/>
        </w:rPr>
        <w:t>Maîtrise et prévention des risques</w:t>
      </w:r>
    </w:p>
    <w:p w14:paraId="50140565" w14:textId="1980F797" w:rsidR="00B92D19" w:rsidRPr="003D3D43" w:rsidRDefault="00B92D19" w:rsidP="00A33994">
      <w:pPr>
        <w:pStyle w:val="Paragraphedeliste"/>
        <w:numPr>
          <w:ilvl w:val="1"/>
          <w:numId w:val="27"/>
        </w:numPr>
        <w:jc w:val="both"/>
        <w:rPr>
          <w:rFonts w:cs="Arial"/>
          <w:bCs/>
        </w:rPr>
      </w:pPr>
      <w:r w:rsidRPr="003D3D43">
        <w:rPr>
          <w:rFonts w:cs="Arial"/>
          <w:bCs/>
        </w:rPr>
        <w:t>Renforcement de l’efficience de gestion et de gouvernance</w:t>
      </w:r>
    </w:p>
    <w:p w14:paraId="18176036" w14:textId="2B1FC60A" w:rsidR="005F2615" w:rsidRPr="003D3D43" w:rsidRDefault="00B92D19" w:rsidP="00A33994">
      <w:pPr>
        <w:pStyle w:val="Paragraphedeliste"/>
        <w:numPr>
          <w:ilvl w:val="1"/>
          <w:numId w:val="27"/>
        </w:numPr>
        <w:jc w:val="both"/>
        <w:rPr>
          <w:rFonts w:cs="Arial"/>
          <w:bCs/>
        </w:rPr>
      </w:pPr>
      <w:r w:rsidRPr="003D3D43">
        <w:rPr>
          <w:rFonts w:cs="Arial"/>
          <w:bCs/>
        </w:rPr>
        <w:t>Réponse aux besoins territoriaux</w:t>
      </w:r>
    </w:p>
    <w:p w14:paraId="045CEE4E" w14:textId="77777777" w:rsidR="00D6651C" w:rsidRPr="003D3D43" w:rsidRDefault="00D6651C" w:rsidP="003D3D43">
      <w:pPr>
        <w:jc w:val="both"/>
        <w:rPr>
          <w:rFonts w:cs="Arial"/>
          <w:color w:val="000000"/>
        </w:rPr>
      </w:pPr>
    </w:p>
    <w:p w14:paraId="618FCF47" w14:textId="4A666B0A" w:rsidR="00841D41" w:rsidRPr="003D3D43" w:rsidRDefault="00841D41" w:rsidP="003D3D43">
      <w:pPr>
        <w:jc w:val="both"/>
        <w:rPr>
          <w:rFonts w:cs="Arial"/>
        </w:rPr>
      </w:pPr>
      <w:r w:rsidRPr="003D3D43">
        <w:rPr>
          <w:rFonts w:cs="Arial"/>
        </w:rPr>
        <w:t xml:space="preserve">Les objectifs négociés </w:t>
      </w:r>
      <w:r w:rsidR="00543AE9" w:rsidRPr="003D3D43">
        <w:rPr>
          <w:rFonts w:cs="Arial"/>
        </w:rPr>
        <w:t>du gestionnaire</w:t>
      </w:r>
      <w:r w:rsidR="00F54209" w:rsidRPr="003D3D43">
        <w:rPr>
          <w:rFonts w:cs="Arial"/>
        </w:rPr>
        <w:t xml:space="preserve"> </w:t>
      </w:r>
      <w:r w:rsidRPr="003D3D43">
        <w:rPr>
          <w:rFonts w:cs="Arial"/>
        </w:rPr>
        <w:t>sont précisés</w:t>
      </w:r>
      <w:r w:rsidR="00F54209" w:rsidRPr="003D3D43">
        <w:rPr>
          <w:rFonts w:cs="Arial"/>
        </w:rPr>
        <w:t xml:space="preserve"> </w:t>
      </w:r>
      <w:r w:rsidRPr="003D3D43">
        <w:rPr>
          <w:rFonts w:cs="Arial"/>
        </w:rPr>
        <w:t xml:space="preserve">en </w:t>
      </w:r>
      <w:r w:rsidRPr="003D3D43">
        <w:rPr>
          <w:rFonts w:cs="Arial"/>
          <w:b/>
          <w:bCs/>
        </w:rPr>
        <w:t>annexe 3</w:t>
      </w:r>
      <w:r w:rsidRPr="003D3D43">
        <w:rPr>
          <w:rFonts w:cs="Arial"/>
        </w:rPr>
        <w:t>.</w:t>
      </w:r>
    </w:p>
    <w:p w14:paraId="650FBA12" w14:textId="1944F56A" w:rsidR="00841D41" w:rsidRPr="003D3D43" w:rsidRDefault="00841D41" w:rsidP="003D3D43">
      <w:pPr>
        <w:jc w:val="both"/>
        <w:rPr>
          <w:rFonts w:cs="Arial"/>
        </w:rPr>
      </w:pPr>
    </w:p>
    <w:p w14:paraId="40D16F86" w14:textId="77777777" w:rsidR="00D6651C" w:rsidRPr="003D3D43" w:rsidRDefault="00D6651C" w:rsidP="003D3D43">
      <w:pPr>
        <w:jc w:val="both"/>
        <w:rPr>
          <w:rFonts w:cs="Arial"/>
          <w:color w:val="000000"/>
        </w:rPr>
      </w:pPr>
      <w:r w:rsidRPr="003D3D43">
        <w:rPr>
          <w:rFonts w:cs="Arial"/>
          <w:color w:val="000000"/>
        </w:rPr>
        <w:t>Le gestionnaire s’engage à réaliser les objectifs présentés, conformément au calendrier de réalisation déterminé conjointement.</w:t>
      </w:r>
    </w:p>
    <w:p w14:paraId="71A22096" w14:textId="475BD2D9" w:rsidR="00841D41" w:rsidRPr="003D3D43" w:rsidRDefault="00D6651C" w:rsidP="003D3D43">
      <w:pPr>
        <w:jc w:val="both"/>
        <w:rPr>
          <w:rFonts w:cs="Arial"/>
        </w:rPr>
      </w:pPr>
      <w:r w:rsidRPr="003D3D43">
        <w:rPr>
          <w:rFonts w:cs="Arial"/>
        </w:rPr>
        <w:t xml:space="preserve">A l’issue de la réunion bi ou tripartite du diagnostic partagé, </w:t>
      </w:r>
      <w:r w:rsidR="00132B25" w:rsidRPr="003D3D43">
        <w:rPr>
          <w:rFonts w:cs="Arial"/>
        </w:rPr>
        <w:t>le gestionnaire</w:t>
      </w:r>
      <w:r w:rsidR="00F54209" w:rsidRPr="003D3D43">
        <w:rPr>
          <w:rFonts w:cs="Arial"/>
        </w:rPr>
        <w:t xml:space="preserve"> décline </w:t>
      </w:r>
      <w:r w:rsidR="00132B25" w:rsidRPr="003D3D43">
        <w:rPr>
          <w:rFonts w:cs="Arial"/>
        </w:rPr>
        <w:t xml:space="preserve">chacun des </w:t>
      </w:r>
      <w:r w:rsidR="00841D41" w:rsidRPr="003D3D43">
        <w:rPr>
          <w:rFonts w:cs="Arial"/>
        </w:rPr>
        <w:t>objectifs</w:t>
      </w:r>
      <w:r w:rsidRPr="003D3D43">
        <w:rPr>
          <w:rFonts w:cs="Arial"/>
        </w:rPr>
        <w:t xml:space="preserve"> négociés</w:t>
      </w:r>
      <w:r w:rsidR="00841D41" w:rsidRPr="003D3D43">
        <w:rPr>
          <w:rFonts w:cs="Arial"/>
        </w:rPr>
        <w:t xml:space="preserve"> </w:t>
      </w:r>
      <w:r w:rsidRPr="003D3D43">
        <w:rPr>
          <w:rFonts w:cs="Arial"/>
        </w:rPr>
        <w:t>en</w:t>
      </w:r>
      <w:r w:rsidR="00841D41" w:rsidRPr="003D3D43">
        <w:rPr>
          <w:rFonts w:cs="Arial"/>
        </w:rPr>
        <w:t xml:space="preserve"> fiches actions</w:t>
      </w:r>
      <w:r w:rsidR="00F54209" w:rsidRPr="003D3D43">
        <w:rPr>
          <w:rFonts w:cs="Arial"/>
        </w:rPr>
        <w:t xml:space="preserve"> </w:t>
      </w:r>
      <w:r w:rsidR="00841D41" w:rsidRPr="003D3D43">
        <w:rPr>
          <w:rFonts w:cs="Arial"/>
        </w:rPr>
        <w:t>(</w:t>
      </w:r>
      <w:r w:rsidR="00841D41" w:rsidRPr="003D3D43">
        <w:rPr>
          <w:rFonts w:cs="Arial"/>
          <w:b/>
          <w:bCs/>
        </w:rPr>
        <w:t>annexe 4</w:t>
      </w:r>
      <w:r w:rsidR="00841D41" w:rsidRPr="003D3D43">
        <w:rPr>
          <w:rFonts w:cs="Arial"/>
        </w:rPr>
        <w:t>).</w:t>
      </w:r>
    </w:p>
    <w:p w14:paraId="142862DA" w14:textId="77777777" w:rsidR="0063199B" w:rsidRPr="003D3D43" w:rsidRDefault="0063199B" w:rsidP="003D3D43">
      <w:pPr>
        <w:pStyle w:val="Sansinterligne"/>
        <w:jc w:val="both"/>
        <w:rPr>
          <w:rFonts w:cs="Arial"/>
        </w:rPr>
      </w:pPr>
    </w:p>
    <w:p w14:paraId="66174319" w14:textId="45E837FA" w:rsidR="002042C6" w:rsidRPr="003D3D43" w:rsidRDefault="00841D41" w:rsidP="003D3D43">
      <w:pPr>
        <w:pStyle w:val="Sansinterligne"/>
        <w:jc w:val="both"/>
        <w:rPr>
          <w:rFonts w:cs="Arial"/>
        </w:rPr>
      </w:pPr>
      <w:r w:rsidRPr="003D3D43">
        <w:rPr>
          <w:rFonts w:cs="Arial"/>
        </w:rPr>
        <w:t>Pour aider au remplissage de</w:t>
      </w:r>
      <w:r w:rsidR="00132B25" w:rsidRPr="003D3D43">
        <w:rPr>
          <w:rFonts w:cs="Arial"/>
        </w:rPr>
        <w:t>s</w:t>
      </w:r>
      <w:r w:rsidRPr="003D3D43">
        <w:rPr>
          <w:rFonts w:cs="Arial"/>
        </w:rPr>
        <w:t xml:space="preserve"> fiches actions, </w:t>
      </w:r>
      <w:r w:rsidR="00132B25" w:rsidRPr="003D3D43">
        <w:rPr>
          <w:rFonts w:cs="Arial"/>
        </w:rPr>
        <w:t xml:space="preserve">le gestionnaire </w:t>
      </w:r>
      <w:r w:rsidR="00D6651C" w:rsidRPr="003D3D43">
        <w:rPr>
          <w:rFonts w:cs="Arial"/>
        </w:rPr>
        <w:t>peut se référer aux fiches ressources</w:t>
      </w:r>
      <w:r w:rsidRPr="003D3D43">
        <w:rPr>
          <w:rFonts w:cs="Arial"/>
        </w:rPr>
        <w:t xml:space="preserve"> consultables dans le</w:t>
      </w:r>
      <w:r w:rsidR="00FE7CA4" w:rsidRPr="003D3D43">
        <w:rPr>
          <w:rFonts w:cs="Arial"/>
        </w:rPr>
        <w:t>s</w:t>
      </w:r>
      <w:r w:rsidRPr="003D3D43">
        <w:rPr>
          <w:rFonts w:cs="Arial"/>
        </w:rPr>
        <w:t xml:space="preserve"> guide</w:t>
      </w:r>
      <w:r w:rsidR="00FE7CA4" w:rsidRPr="003D3D43">
        <w:rPr>
          <w:rFonts w:cs="Arial"/>
        </w:rPr>
        <w:t>s</w:t>
      </w:r>
      <w:r w:rsidRPr="003D3D43">
        <w:rPr>
          <w:rFonts w:cs="Arial"/>
        </w:rPr>
        <w:t xml:space="preserve"> méthodologique</w:t>
      </w:r>
      <w:r w:rsidR="00FE7CA4" w:rsidRPr="003D3D43">
        <w:rPr>
          <w:rFonts w:cs="Arial"/>
        </w:rPr>
        <w:t>s</w:t>
      </w:r>
      <w:r w:rsidRPr="003D3D43">
        <w:rPr>
          <w:rFonts w:cs="Arial"/>
        </w:rPr>
        <w:t xml:space="preserve"> d’élaboration du CPOM </w:t>
      </w:r>
      <w:r w:rsidR="00132B25" w:rsidRPr="003D3D43">
        <w:rPr>
          <w:rFonts w:cs="Arial"/>
        </w:rPr>
        <w:t xml:space="preserve">respectivement du </w:t>
      </w:r>
      <w:r w:rsidRPr="003D3D43">
        <w:rPr>
          <w:rFonts w:cs="Arial"/>
        </w:rPr>
        <w:t xml:space="preserve">secteur Personnes </w:t>
      </w:r>
      <w:r w:rsidR="005353E8" w:rsidRPr="003D3D43">
        <w:rPr>
          <w:rFonts w:cs="Arial"/>
        </w:rPr>
        <w:t>Handicapées</w:t>
      </w:r>
      <w:r w:rsidR="00FE7CA4" w:rsidRPr="003D3D43">
        <w:rPr>
          <w:rFonts w:cs="Arial"/>
        </w:rPr>
        <w:t xml:space="preserve"> et </w:t>
      </w:r>
      <w:r w:rsidR="00132B25" w:rsidRPr="003D3D43">
        <w:rPr>
          <w:rFonts w:cs="Arial"/>
        </w:rPr>
        <w:t xml:space="preserve">du </w:t>
      </w:r>
      <w:r w:rsidR="00FE7CA4" w:rsidRPr="003D3D43">
        <w:rPr>
          <w:rFonts w:cs="Arial"/>
        </w:rPr>
        <w:t>secteur Personnes Âgées</w:t>
      </w:r>
      <w:r w:rsidR="005353E8" w:rsidRPr="003D3D43">
        <w:rPr>
          <w:rFonts w:cs="Arial"/>
        </w:rPr>
        <w:t xml:space="preserve">. </w:t>
      </w:r>
    </w:p>
    <w:p w14:paraId="7C1F5A60" w14:textId="77777777" w:rsidR="00943A7A" w:rsidRPr="003D3D43" w:rsidRDefault="00943A7A" w:rsidP="003D3D43">
      <w:pPr>
        <w:pStyle w:val="Sansinterligne"/>
        <w:jc w:val="both"/>
        <w:rPr>
          <w:rFonts w:cs="Arial"/>
        </w:rPr>
      </w:pPr>
    </w:p>
    <w:p w14:paraId="37A16674" w14:textId="41023D0A" w:rsidR="00943A7A" w:rsidRPr="003D3D43" w:rsidRDefault="00943A7A" w:rsidP="003D3D43">
      <w:pPr>
        <w:pStyle w:val="Titre2"/>
        <w:jc w:val="both"/>
        <w:rPr>
          <w:rFonts w:ascii="Arial" w:hAnsi="Arial" w:cs="Arial"/>
          <w:b/>
          <w:bCs/>
          <w:sz w:val="24"/>
          <w:szCs w:val="24"/>
          <w:u w:val="single"/>
        </w:rPr>
      </w:pPr>
      <w:bookmarkStart w:id="14" w:name="_Toc69303801"/>
      <w:r w:rsidRPr="003D3D43">
        <w:rPr>
          <w:rFonts w:ascii="Arial" w:hAnsi="Arial" w:cs="Arial"/>
          <w:b/>
          <w:bCs/>
          <w:sz w:val="24"/>
          <w:szCs w:val="24"/>
          <w:u w:val="single"/>
        </w:rPr>
        <w:t xml:space="preserve">Article </w:t>
      </w:r>
      <w:r w:rsidR="002042C6" w:rsidRPr="003D3D43">
        <w:rPr>
          <w:rFonts w:ascii="Arial" w:hAnsi="Arial" w:cs="Arial"/>
          <w:b/>
          <w:bCs/>
          <w:sz w:val="24"/>
          <w:szCs w:val="24"/>
          <w:u w:val="single"/>
        </w:rPr>
        <w:t>4</w:t>
      </w:r>
      <w:r w:rsidRPr="003D3D43">
        <w:rPr>
          <w:rFonts w:ascii="Arial" w:hAnsi="Arial" w:cs="Arial"/>
          <w:b/>
          <w:bCs/>
          <w:sz w:val="24"/>
          <w:szCs w:val="24"/>
        </w:rPr>
        <w:t xml:space="preserve"> – </w:t>
      </w:r>
      <w:r w:rsidR="00885F07" w:rsidRPr="003D3D43">
        <w:rPr>
          <w:rFonts w:ascii="Arial" w:hAnsi="Arial" w:cs="Arial"/>
          <w:b/>
          <w:bCs/>
          <w:sz w:val="24"/>
          <w:szCs w:val="24"/>
          <w:u w:val="single"/>
        </w:rPr>
        <w:t>M</w:t>
      </w:r>
      <w:r w:rsidRPr="003D3D43">
        <w:rPr>
          <w:rFonts w:ascii="Arial" w:hAnsi="Arial" w:cs="Arial"/>
          <w:b/>
          <w:bCs/>
          <w:sz w:val="24"/>
          <w:szCs w:val="24"/>
          <w:u w:val="single"/>
        </w:rPr>
        <w:t>oyens dédiés à la réalisation du CPOM</w:t>
      </w:r>
      <w:bookmarkEnd w:id="14"/>
    </w:p>
    <w:p w14:paraId="5B73F3D4" w14:textId="0CEC03E7" w:rsidR="00943A7A" w:rsidRPr="003D3D43" w:rsidRDefault="00943A7A" w:rsidP="003D3D43">
      <w:pPr>
        <w:jc w:val="both"/>
        <w:rPr>
          <w:rFonts w:cs="Arial"/>
          <w:iCs/>
          <w:szCs w:val="24"/>
        </w:rPr>
      </w:pPr>
    </w:p>
    <w:p w14:paraId="24DA19B5" w14:textId="77777777" w:rsidR="00885F07" w:rsidRPr="003D3D43" w:rsidRDefault="00885F07" w:rsidP="003D3D43">
      <w:pPr>
        <w:keepLines w:val="0"/>
        <w:jc w:val="both"/>
        <w:rPr>
          <w:rFonts w:cs="Arial"/>
          <w:color w:val="000000"/>
        </w:rPr>
      </w:pPr>
      <w:r w:rsidRPr="003D3D43">
        <w:rPr>
          <w:rFonts w:cs="Arial"/>
          <w:color w:val="000000"/>
        </w:rPr>
        <w:t>Le CPOM comprend des données précises sur les moyens dont dispose le gestionnaire pendant cinq ans. Les moyens déterminés doivent être proportionnés aux objectifs fixés.</w:t>
      </w:r>
    </w:p>
    <w:p w14:paraId="555E7C79" w14:textId="77777777" w:rsidR="00885F07" w:rsidRPr="003D3D43" w:rsidRDefault="00885F07" w:rsidP="003D3D43">
      <w:pPr>
        <w:jc w:val="both"/>
        <w:rPr>
          <w:rFonts w:cs="Arial"/>
          <w:iCs/>
          <w:szCs w:val="24"/>
        </w:rPr>
      </w:pPr>
    </w:p>
    <w:p w14:paraId="0A5DFCB6" w14:textId="427CC300" w:rsidR="00943A7A" w:rsidRPr="003D3D43" w:rsidRDefault="00F30988" w:rsidP="003D3D43">
      <w:pPr>
        <w:jc w:val="both"/>
        <w:rPr>
          <w:rFonts w:eastAsia="Arial" w:cs="Arial"/>
          <w:b/>
          <w:bCs/>
          <w:color w:val="0070C0"/>
        </w:rPr>
      </w:pPr>
      <w:bookmarkStart w:id="15" w:name="_Hlk66441246"/>
      <w:r w:rsidRPr="003D3D43">
        <w:rPr>
          <w:rFonts w:eastAsia="Arial" w:cs="Arial"/>
          <w:b/>
          <w:bCs/>
          <w:color w:val="0070C0"/>
        </w:rPr>
        <w:t xml:space="preserve">4.1- </w:t>
      </w:r>
      <w:r w:rsidR="00943A7A" w:rsidRPr="003D3D43">
        <w:rPr>
          <w:rFonts w:eastAsia="Arial" w:cs="Arial"/>
          <w:b/>
          <w:bCs/>
          <w:color w:val="0070C0"/>
        </w:rPr>
        <w:t>Détermination de la base budgétaire et de l’activité de référence des établissements et services</w:t>
      </w:r>
      <w:r w:rsidR="00EC48DA">
        <w:rPr>
          <w:rFonts w:eastAsia="Arial" w:cs="Arial"/>
          <w:b/>
          <w:bCs/>
          <w:color w:val="0070C0"/>
        </w:rPr>
        <w:t xml:space="preserve"> parties au CPOM</w:t>
      </w:r>
      <w:r w:rsidR="00943A7A" w:rsidRPr="003D3D43">
        <w:rPr>
          <w:rFonts w:eastAsia="Arial" w:cs="Arial"/>
          <w:b/>
          <w:bCs/>
          <w:color w:val="0070C0"/>
        </w:rPr>
        <w:t> </w:t>
      </w:r>
    </w:p>
    <w:p w14:paraId="52B48CC9" w14:textId="77777777" w:rsidR="00943A7A" w:rsidRPr="003D3D43" w:rsidRDefault="00943A7A" w:rsidP="003D3D43">
      <w:pPr>
        <w:ind w:right="-333"/>
        <w:jc w:val="both"/>
        <w:rPr>
          <w:rFonts w:cs="Arial"/>
        </w:rPr>
      </w:pPr>
    </w:p>
    <w:p w14:paraId="7389DD79" w14:textId="03E2A237" w:rsidR="00943A7A" w:rsidRDefault="00943A7A" w:rsidP="003D3D43">
      <w:pPr>
        <w:ind w:right="-333"/>
        <w:jc w:val="both"/>
        <w:rPr>
          <w:rFonts w:cs="Arial"/>
        </w:rPr>
      </w:pPr>
      <w:r w:rsidRPr="003D3D43">
        <w:rPr>
          <w:rFonts w:cs="Arial"/>
        </w:rPr>
        <w:t xml:space="preserve">Le budget de référence des établissements et services inclus dans le périmètre du CPOM est déterminé au regard </w:t>
      </w:r>
      <w:r w:rsidR="00BE2532" w:rsidRPr="003D3D43">
        <w:rPr>
          <w:rFonts w:cs="Arial"/>
        </w:rPr>
        <w:t>de la dernière notification attribuée</w:t>
      </w:r>
      <w:r w:rsidRPr="003D3D43">
        <w:rPr>
          <w:rFonts w:cs="Arial"/>
        </w:rPr>
        <w:t xml:space="preserve"> et de l’activité moyenne des trois dernières années, sauf évènement exceptionnel, en cohérence avec les enveloppes régionale limitatives.</w:t>
      </w:r>
    </w:p>
    <w:p w14:paraId="2875D726" w14:textId="77777777" w:rsidR="005F526A" w:rsidRPr="003D3D43" w:rsidRDefault="005F526A" w:rsidP="003D3D43">
      <w:pPr>
        <w:ind w:right="-333"/>
        <w:jc w:val="both"/>
        <w:rPr>
          <w:rFonts w:cs="Arial"/>
        </w:rPr>
      </w:pPr>
    </w:p>
    <w:p w14:paraId="281AE6C8" w14:textId="77777777" w:rsidR="009C19EA" w:rsidRPr="003D3D43" w:rsidRDefault="009C19EA" w:rsidP="003D3D43">
      <w:pPr>
        <w:jc w:val="both"/>
        <w:rPr>
          <w:rFonts w:cs="Arial"/>
        </w:rPr>
      </w:pPr>
      <w:bookmarkStart w:id="16" w:name="_Hlk67498545"/>
      <w:r w:rsidRPr="003D3D43">
        <w:rPr>
          <w:rFonts w:cs="Arial"/>
        </w:rPr>
        <w:t>Les modalités de détermination des dotations des établissements et services couverts par le CPOM sont précisées à l’</w:t>
      </w:r>
      <w:r w:rsidRPr="003D3D43">
        <w:rPr>
          <w:rFonts w:cs="Arial"/>
          <w:b/>
          <w:bCs/>
        </w:rPr>
        <w:t>annexe 2b</w:t>
      </w:r>
      <w:r w:rsidRPr="003D3D43">
        <w:rPr>
          <w:rFonts w:cs="Arial"/>
        </w:rPr>
        <w:t>.</w:t>
      </w:r>
    </w:p>
    <w:bookmarkEnd w:id="15"/>
    <w:bookmarkEnd w:id="16"/>
    <w:p w14:paraId="7FA5F365" w14:textId="77777777" w:rsidR="00EC48DA" w:rsidRPr="003D3D43" w:rsidRDefault="00EC48DA" w:rsidP="003D3D43">
      <w:pPr>
        <w:pStyle w:val="Sansinterligne"/>
        <w:jc w:val="both"/>
        <w:rPr>
          <w:rFonts w:cs="Arial"/>
          <w:i/>
          <w:iCs/>
        </w:rPr>
      </w:pPr>
    </w:p>
    <w:p w14:paraId="0B025EBA" w14:textId="378D86A5" w:rsidR="00943A7A" w:rsidRPr="003D3D43" w:rsidRDefault="00F30988" w:rsidP="003D3D43">
      <w:pPr>
        <w:jc w:val="both"/>
        <w:rPr>
          <w:rFonts w:cs="Arial"/>
          <w:b/>
          <w:bCs/>
          <w:i/>
          <w:iCs/>
        </w:rPr>
      </w:pPr>
      <w:r w:rsidRPr="003D3D43">
        <w:rPr>
          <w:rFonts w:cs="Arial"/>
          <w:b/>
          <w:bCs/>
          <w:i/>
          <w:iCs/>
        </w:rPr>
        <w:lastRenderedPageBreak/>
        <w:t xml:space="preserve">4.1.1- </w:t>
      </w:r>
      <w:r w:rsidR="00943A7A" w:rsidRPr="003D3D43">
        <w:rPr>
          <w:rFonts w:cs="Arial"/>
          <w:b/>
          <w:bCs/>
          <w:i/>
          <w:iCs/>
        </w:rPr>
        <w:t>Fixation, évolution et gestion de la Dotation Globalisée Commune (DGC)</w:t>
      </w:r>
    </w:p>
    <w:p w14:paraId="74F8AB1B" w14:textId="77777777" w:rsidR="00943A7A" w:rsidRPr="003D3D43" w:rsidRDefault="00943A7A" w:rsidP="003D3D43">
      <w:pPr>
        <w:pStyle w:val="Sansinterligne"/>
        <w:jc w:val="both"/>
        <w:rPr>
          <w:rFonts w:cs="Arial"/>
        </w:rPr>
      </w:pPr>
    </w:p>
    <w:p w14:paraId="02C92B17" w14:textId="09C90EEF" w:rsidR="00943A7A" w:rsidRPr="003D3D43" w:rsidRDefault="00943A7A" w:rsidP="003D3D43">
      <w:pPr>
        <w:pStyle w:val="Sansinterligne"/>
        <w:jc w:val="both"/>
        <w:rPr>
          <w:rFonts w:cs="Arial"/>
        </w:rPr>
      </w:pPr>
      <w:r w:rsidRPr="003D3D43">
        <w:rPr>
          <w:rFonts w:cs="Arial"/>
        </w:rPr>
        <w:t xml:space="preserve">La tarification des établissements et services </w:t>
      </w:r>
      <w:r w:rsidR="004E6A54">
        <w:rPr>
          <w:rFonts w:cs="Arial"/>
        </w:rPr>
        <w:t xml:space="preserve">du secteur personnes handicapées </w:t>
      </w:r>
      <w:r w:rsidRPr="003D3D43">
        <w:rPr>
          <w:rFonts w:cs="Arial"/>
        </w:rPr>
        <w:t>entrant dans le champ du contrat se fera par une dotation globalisée commune (DGC), par douzième</w:t>
      </w:r>
      <w:r w:rsidR="00193A84" w:rsidRPr="003D3D43">
        <w:rPr>
          <w:rFonts w:cs="Arial"/>
        </w:rPr>
        <w:t xml:space="preserve">. </w:t>
      </w:r>
      <w:r w:rsidRPr="003D3D43">
        <w:rPr>
          <w:rFonts w:cs="Arial"/>
        </w:rPr>
        <w:t>Cette dotation inclut les frais de siège à reverser par les établissements</w:t>
      </w:r>
      <w:r w:rsidR="00BE2532" w:rsidRPr="003D3D43">
        <w:rPr>
          <w:rFonts w:cs="Arial"/>
        </w:rPr>
        <w:t xml:space="preserve"> si un Siège est régulièrement autorisé</w:t>
      </w:r>
      <w:r w:rsidRPr="003D3D43">
        <w:rPr>
          <w:rFonts w:cs="Arial"/>
        </w:rPr>
        <w:t>.</w:t>
      </w:r>
    </w:p>
    <w:p w14:paraId="7A86C3A1" w14:textId="77777777" w:rsidR="00943A7A" w:rsidRPr="003D3D43" w:rsidRDefault="00943A7A" w:rsidP="003D3D43">
      <w:pPr>
        <w:pStyle w:val="Sansinterligne"/>
        <w:jc w:val="both"/>
        <w:rPr>
          <w:rFonts w:cs="Arial"/>
        </w:rPr>
      </w:pPr>
    </w:p>
    <w:p w14:paraId="1F0BF320" w14:textId="77777777" w:rsidR="00943A7A" w:rsidRPr="003D3D43" w:rsidRDefault="00943A7A" w:rsidP="003D3D43">
      <w:pPr>
        <w:pStyle w:val="Sansinterligne"/>
        <w:jc w:val="both"/>
        <w:rPr>
          <w:rFonts w:cs="Arial"/>
        </w:rPr>
      </w:pPr>
      <w:r w:rsidRPr="003D3D43">
        <w:rPr>
          <w:rFonts w:cs="Arial"/>
        </w:rPr>
        <w:t xml:space="preserve">La décision de tarification sera notifiée chaque année par le directeur général de l’ARS de Corse, elle devra spécifier : </w:t>
      </w:r>
    </w:p>
    <w:p w14:paraId="287AD1F1" w14:textId="3D7A050E" w:rsidR="00943A7A" w:rsidRPr="003D3D43" w:rsidRDefault="00AE1254" w:rsidP="00A33994">
      <w:pPr>
        <w:pStyle w:val="Sansinterligne"/>
        <w:numPr>
          <w:ilvl w:val="0"/>
          <w:numId w:val="29"/>
        </w:numPr>
        <w:jc w:val="both"/>
        <w:rPr>
          <w:rFonts w:cs="Arial"/>
        </w:rPr>
      </w:pPr>
      <w:r w:rsidRPr="003D3D43">
        <w:rPr>
          <w:rFonts w:cs="Arial"/>
        </w:rPr>
        <w:t>Le</w:t>
      </w:r>
      <w:r w:rsidR="00943A7A" w:rsidRPr="003D3D43">
        <w:rPr>
          <w:rFonts w:cs="Arial"/>
        </w:rPr>
        <w:t xml:space="preserve"> montant de la DGC</w:t>
      </w:r>
      <w:r w:rsidR="004E6A54">
        <w:rPr>
          <w:rFonts w:cs="Arial"/>
        </w:rPr>
        <w:t> ;</w:t>
      </w:r>
    </w:p>
    <w:p w14:paraId="0AD4D0B0" w14:textId="39C4BDDE" w:rsidR="00943A7A" w:rsidRPr="003D3D43" w:rsidRDefault="00AE1254" w:rsidP="00A33994">
      <w:pPr>
        <w:pStyle w:val="Sansinterligne"/>
        <w:numPr>
          <w:ilvl w:val="0"/>
          <w:numId w:val="29"/>
        </w:numPr>
        <w:jc w:val="both"/>
        <w:rPr>
          <w:rFonts w:cs="Arial"/>
        </w:rPr>
      </w:pPr>
      <w:r w:rsidRPr="003D3D43">
        <w:rPr>
          <w:rFonts w:cs="Arial"/>
        </w:rPr>
        <w:t>La</w:t>
      </w:r>
      <w:r w:rsidR="00943A7A" w:rsidRPr="003D3D43">
        <w:rPr>
          <w:rFonts w:cs="Arial"/>
        </w:rPr>
        <w:t xml:space="preserve"> quote-part de cette DGC pour chaque établissement sur proposition de l’association</w:t>
      </w:r>
      <w:r w:rsidR="004E6A54">
        <w:rPr>
          <w:rFonts w:cs="Arial"/>
        </w:rPr>
        <w:t> ;</w:t>
      </w:r>
    </w:p>
    <w:p w14:paraId="2156A404" w14:textId="718F557E" w:rsidR="00943A7A" w:rsidRPr="003D3D43" w:rsidRDefault="00AE1254" w:rsidP="00A33994">
      <w:pPr>
        <w:pStyle w:val="Sansinterligne"/>
        <w:numPr>
          <w:ilvl w:val="0"/>
          <w:numId w:val="29"/>
        </w:numPr>
        <w:jc w:val="both"/>
        <w:rPr>
          <w:rFonts w:cs="Arial"/>
        </w:rPr>
      </w:pPr>
      <w:r w:rsidRPr="003D3D43">
        <w:rPr>
          <w:rFonts w:cs="Arial"/>
        </w:rPr>
        <w:t>Le</w:t>
      </w:r>
      <w:r w:rsidR="00943A7A" w:rsidRPr="003D3D43">
        <w:rPr>
          <w:rFonts w:cs="Arial"/>
        </w:rPr>
        <w:t xml:space="preserve"> douzième de la DGC mensuelle</w:t>
      </w:r>
      <w:r w:rsidR="004E6A54">
        <w:rPr>
          <w:rFonts w:cs="Arial"/>
        </w:rPr>
        <w:t> ;</w:t>
      </w:r>
    </w:p>
    <w:p w14:paraId="13DEEA26" w14:textId="22CFBCD5" w:rsidR="00943A7A" w:rsidRPr="003D3D43" w:rsidRDefault="00AE1254" w:rsidP="00A33994">
      <w:pPr>
        <w:pStyle w:val="Sansinterligne"/>
        <w:numPr>
          <w:ilvl w:val="0"/>
          <w:numId w:val="29"/>
        </w:numPr>
        <w:jc w:val="both"/>
        <w:rPr>
          <w:rFonts w:cs="Arial"/>
        </w:rPr>
      </w:pPr>
      <w:r w:rsidRPr="003D3D43">
        <w:rPr>
          <w:rFonts w:cs="Arial"/>
        </w:rPr>
        <w:t>Le</w:t>
      </w:r>
      <w:r w:rsidR="00943A7A" w:rsidRPr="003D3D43">
        <w:rPr>
          <w:rFonts w:cs="Arial"/>
        </w:rPr>
        <w:t xml:space="preserve"> prix de journée (tarif journalier) calculé de façon simplifiée pour permettre la compensation entre les régimes de sécurité sociale et la facturation des places sous amendement Creton</w:t>
      </w:r>
      <w:r w:rsidR="004E6A54">
        <w:rPr>
          <w:rFonts w:cs="Arial"/>
        </w:rPr>
        <w:t>.</w:t>
      </w:r>
    </w:p>
    <w:p w14:paraId="69C96C39" w14:textId="77777777" w:rsidR="00943A7A" w:rsidRPr="003D3D43" w:rsidRDefault="00943A7A" w:rsidP="003D3D43">
      <w:pPr>
        <w:pStyle w:val="Sansinterligne"/>
        <w:jc w:val="both"/>
        <w:rPr>
          <w:rFonts w:cs="Arial"/>
        </w:rPr>
      </w:pPr>
    </w:p>
    <w:p w14:paraId="6F49BE4A" w14:textId="46F7A9EF" w:rsidR="00943A7A" w:rsidRPr="003D3D43" w:rsidRDefault="00943A7A" w:rsidP="003D3D43">
      <w:pPr>
        <w:pStyle w:val="Sansinterligne"/>
        <w:jc w:val="both"/>
        <w:rPr>
          <w:rFonts w:cs="Arial"/>
        </w:rPr>
      </w:pPr>
      <w:r w:rsidRPr="003D3D43">
        <w:rPr>
          <w:rFonts w:cs="Arial"/>
        </w:rPr>
        <w:t>Le gestionnaire pourra procéder par décisions modificatives à une nouvelle répartition de la DG</w:t>
      </w:r>
      <w:r w:rsidR="00676BA1" w:rsidRPr="003D3D43">
        <w:rPr>
          <w:rFonts w:cs="Arial"/>
        </w:rPr>
        <w:t>C</w:t>
      </w:r>
      <w:r w:rsidRPr="003D3D43">
        <w:rPr>
          <w:rFonts w:cs="Arial"/>
        </w:rPr>
        <w:t xml:space="preserve"> dans la limite de ce montant et des indicateurs réglementaires applicables aux établissements et services médico-sociaux.</w:t>
      </w:r>
    </w:p>
    <w:p w14:paraId="7B161930" w14:textId="77777777" w:rsidR="00943A7A" w:rsidRPr="003D3D43" w:rsidRDefault="00943A7A" w:rsidP="003D3D43">
      <w:pPr>
        <w:pStyle w:val="Sansinterligne"/>
        <w:jc w:val="both"/>
        <w:rPr>
          <w:rFonts w:cs="Arial"/>
        </w:rPr>
      </w:pPr>
    </w:p>
    <w:p w14:paraId="19D12D77" w14:textId="2B6F709E" w:rsidR="00943A7A" w:rsidRPr="003D3D43" w:rsidRDefault="00943A7A" w:rsidP="003D3D43">
      <w:pPr>
        <w:pStyle w:val="Sansinterligne"/>
        <w:jc w:val="both"/>
        <w:rPr>
          <w:rFonts w:cs="Arial"/>
        </w:rPr>
      </w:pPr>
      <w:r w:rsidRPr="003D3D43">
        <w:rPr>
          <w:rFonts w:cs="Arial"/>
        </w:rPr>
        <w:t xml:space="preserve">Le gestionnaire pourra dans le cadre de la dotation globalisée </w:t>
      </w:r>
      <w:r w:rsidRPr="003D3D43">
        <w:rPr>
          <w:rFonts w:cs="Arial"/>
          <w:color w:val="000000"/>
        </w:rPr>
        <w:t>procéder librement au cours de l’exercice et</w:t>
      </w:r>
      <w:r w:rsidRPr="003D3D43">
        <w:rPr>
          <w:rFonts w:cs="Arial"/>
        </w:rPr>
        <w:t xml:space="preserve"> dans le respect des articles R314-45 et R314-46</w:t>
      </w:r>
      <w:r w:rsidR="004E6A54">
        <w:rPr>
          <w:rFonts w:cs="Arial"/>
        </w:rPr>
        <w:t xml:space="preserve"> du CASF</w:t>
      </w:r>
      <w:r w:rsidRPr="003D3D43">
        <w:rPr>
          <w:rFonts w:cs="Arial"/>
        </w:rPr>
        <w:t xml:space="preserve"> à :</w:t>
      </w:r>
    </w:p>
    <w:p w14:paraId="08C9FEC8" w14:textId="3A1E63E2" w:rsidR="00943A7A" w:rsidRPr="003D3D43" w:rsidRDefault="00AE1254" w:rsidP="00A33994">
      <w:pPr>
        <w:pStyle w:val="Sansinterligne"/>
        <w:numPr>
          <w:ilvl w:val="0"/>
          <w:numId w:val="30"/>
        </w:numPr>
        <w:jc w:val="both"/>
        <w:rPr>
          <w:rFonts w:cs="Arial"/>
        </w:rPr>
      </w:pPr>
      <w:r w:rsidRPr="003D3D43">
        <w:rPr>
          <w:rFonts w:cs="Arial"/>
        </w:rPr>
        <w:t>Tous</w:t>
      </w:r>
      <w:r w:rsidR="00943A7A" w:rsidRPr="003D3D43">
        <w:rPr>
          <w:rFonts w:cs="Arial"/>
        </w:rPr>
        <w:t xml:space="preserve"> les virements de crédits au sein et entre groupes fonctionnels des établissements et services,</w:t>
      </w:r>
    </w:p>
    <w:p w14:paraId="483FFC3F" w14:textId="3AEAA400" w:rsidR="00943A7A" w:rsidRPr="003D3D43" w:rsidRDefault="00AE1254" w:rsidP="00A33994">
      <w:pPr>
        <w:pStyle w:val="Sansinterligne"/>
        <w:numPr>
          <w:ilvl w:val="0"/>
          <w:numId w:val="30"/>
        </w:numPr>
        <w:jc w:val="both"/>
        <w:rPr>
          <w:rFonts w:cs="Arial"/>
        </w:rPr>
      </w:pPr>
      <w:r w:rsidRPr="003D3D43">
        <w:rPr>
          <w:rFonts w:cs="Arial"/>
        </w:rPr>
        <w:t>Des</w:t>
      </w:r>
      <w:r w:rsidR="00943A7A" w:rsidRPr="003D3D43">
        <w:rPr>
          <w:rFonts w:cs="Arial"/>
        </w:rPr>
        <w:t xml:space="preserve"> décisions budgétaires modificatives concomitantes en dépenses et en recettes entre tous les établissements et services.</w:t>
      </w:r>
    </w:p>
    <w:p w14:paraId="56A2781A" w14:textId="77777777" w:rsidR="000859DD" w:rsidRPr="003D3D43" w:rsidRDefault="000859DD" w:rsidP="003D3D43">
      <w:pPr>
        <w:pStyle w:val="Sansinterligne"/>
        <w:jc w:val="both"/>
        <w:rPr>
          <w:rFonts w:cs="Arial"/>
        </w:rPr>
      </w:pPr>
    </w:p>
    <w:p w14:paraId="59BCE290" w14:textId="77777777" w:rsidR="00943A7A" w:rsidRPr="003D3D43" w:rsidRDefault="00943A7A" w:rsidP="003D3D43">
      <w:pPr>
        <w:pStyle w:val="Sansinterligne"/>
        <w:jc w:val="both"/>
        <w:rPr>
          <w:rFonts w:cs="Arial"/>
          <w:color w:val="000000"/>
        </w:rPr>
      </w:pPr>
      <w:r w:rsidRPr="003D3D43">
        <w:rPr>
          <w:rFonts w:cs="Arial"/>
        </w:rPr>
        <w:t xml:space="preserve">En conséquence, il appartient à </w:t>
      </w:r>
      <w:r w:rsidRPr="003D3D43">
        <w:rPr>
          <w:rFonts w:cs="Arial"/>
          <w:color w:val="2F5496" w:themeColor="accent1" w:themeShade="BF"/>
        </w:rPr>
        <w:t xml:space="preserve">l’Association XX / les ESMS XX </w:t>
      </w:r>
      <w:r w:rsidRPr="003D3D43">
        <w:rPr>
          <w:rFonts w:cs="Arial"/>
        </w:rPr>
        <w:t xml:space="preserve">de procéder, si besoin et pendant l’année, à toutes les réaffectations et redéploiements rendus possibles par la souplesse de gestion qu’offre la dotation globalisée dans la limite </w:t>
      </w:r>
      <w:r w:rsidRPr="003D3D43">
        <w:rPr>
          <w:rFonts w:cs="Arial"/>
          <w:color w:val="000000"/>
        </w:rPr>
        <w:t>de son montant et dans le respect des enveloppes.</w:t>
      </w:r>
    </w:p>
    <w:p w14:paraId="3E4C9ACF" w14:textId="77777777" w:rsidR="00943A7A" w:rsidRPr="003D3D43" w:rsidRDefault="00943A7A" w:rsidP="003D3D43">
      <w:pPr>
        <w:pStyle w:val="Sansinterligne"/>
        <w:jc w:val="both"/>
        <w:rPr>
          <w:rFonts w:cs="Arial"/>
        </w:rPr>
      </w:pPr>
    </w:p>
    <w:p w14:paraId="1BDBD1A4" w14:textId="62EE428A" w:rsidR="00943A7A" w:rsidRPr="003D3D43" w:rsidRDefault="00943A7A" w:rsidP="003D3D43">
      <w:pPr>
        <w:pStyle w:val="Sansinterligne"/>
        <w:jc w:val="both"/>
        <w:rPr>
          <w:rFonts w:cs="Arial"/>
          <w:i/>
          <w:iCs/>
        </w:rPr>
      </w:pPr>
      <w:r w:rsidRPr="003D3D43">
        <w:rPr>
          <w:rFonts w:cs="Arial"/>
          <w:i/>
          <w:iCs/>
        </w:rPr>
        <w:t>Pour les années N+1 à N+4, la dotation sera actualisée dans le respect des enveloppes limitatives régionales et en fonction de la politique de reconduction des tarifs mentionnées dans le rapport d’orientations budgétaires</w:t>
      </w:r>
    </w:p>
    <w:p w14:paraId="697B80C5" w14:textId="42080133" w:rsidR="00906E03" w:rsidRPr="003D3D43" w:rsidRDefault="00906E03" w:rsidP="003D3D43">
      <w:pPr>
        <w:autoSpaceDE w:val="0"/>
        <w:autoSpaceDN w:val="0"/>
        <w:adjustRightInd w:val="0"/>
        <w:jc w:val="both"/>
        <w:rPr>
          <w:rFonts w:cs="Arial"/>
          <w:i/>
          <w:iCs/>
        </w:rPr>
      </w:pPr>
    </w:p>
    <w:p w14:paraId="11857116" w14:textId="46659D82" w:rsidR="00906E03" w:rsidRPr="003D3D43" w:rsidRDefault="00906E03" w:rsidP="003D3D43">
      <w:pPr>
        <w:jc w:val="both"/>
        <w:rPr>
          <w:rFonts w:cs="Arial"/>
          <w:b/>
          <w:bCs/>
          <w:i/>
          <w:iCs/>
        </w:rPr>
      </w:pPr>
      <w:r w:rsidRPr="003D3D43">
        <w:rPr>
          <w:rFonts w:cs="Arial"/>
          <w:b/>
          <w:bCs/>
          <w:i/>
          <w:iCs/>
        </w:rPr>
        <w:t>4.1.2</w:t>
      </w:r>
      <w:r w:rsidR="00676BA1" w:rsidRPr="003D3D43">
        <w:rPr>
          <w:rFonts w:cs="Arial"/>
          <w:b/>
          <w:bCs/>
          <w:i/>
          <w:iCs/>
        </w:rPr>
        <w:t xml:space="preserve">- </w:t>
      </w:r>
      <w:r w:rsidRPr="003D3D43">
        <w:rPr>
          <w:rFonts w:cs="Arial"/>
          <w:b/>
          <w:bCs/>
          <w:i/>
          <w:iCs/>
        </w:rPr>
        <w:t>Pour les EHPAD</w:t>
      </w:r>
    </w:p>
    <w:p w14:paraId="4358547A" w14:textId="2EAD9467" w:rsidR="00AB6670" w:rsidRPr="003D3D43" w:rsidRDefault="00AB6670" w:rsidP="003D3D43">
      <w:pPr>
        <w:jc w:val="both"/>
        <w:rPr>
          <w:rFonts w:cs="Arial"/>
          <w:b/>
          <w:bCs/>
          <w:i/>
          <w:iCs/>
        </w:rPr>
      </w:pPr>
    </w:p>
    <w:p w14:paraId="63F874E7" w14:textId="77777777" w:rsidR="00906E03" w:rsidRPr="003D3D43" w:rsidRDefault="00906E03" w:rsidP="00A33994">
      <w:pPr>
        <w:pStyle w:val="Paragraphedeliste"/>
        <w:keepLines w:val="0"/>
        <w:numPr>
          <w:ilvl w:val="0"/>
          <w:numId w:val="23"/>
        </w:numPr>
        <w:jc w:val="both"/>
        <w:rPr>
          <w:rFonts w:cs="Arial"/>
          <w:bCs/>
          <w:i/>
          <w:iCs/>
        </w:rPr>
      </w:pPr>
      <w:bookmarkStart w:id="17" w:name="_Hlk67393662"/>
      <w:r w:rsidRPr="003D3D43">
        <w:rPr>
          <w:rFonts w:cs="Arial"/>
          <w:bCs/>
          <w:i/>
          <w:iCs/>
          <w:color w:val="000000"/>
          <w:u w:val="single"/>
        </w:rPr>
        <w:t>Le forfait global soins</w:t>
      </w:r>
      <w:r w:rsidRPr="003D3D43">
        <w:rPr>
          <w:rFonts w:cs="Arial"/>
          <w:bCs/>
          <w:i/>
          <w:iCs/>
          <w:color w:val="000000"/>
        </w:rPr>
        <w:t> : </w:t>
      </w:r>
    </w:p>
    <w:p w14:paraId="4DA9B4EF" w14:textId="77777777" w:rsidR="00906E03" w:rsidRPr="003D3D43" w:rsidRDefault="00906E03" w:rsidP="003D3D43">
      <w:pPr>
        <w:keepLines w:val="0"/>
        <w:jc w:val="both"/>
        <w:rPr>
          <w:rFonts w:cs="Arial"/>
          <w:sz w:val="10"/>
          <w:szCs w:val="10"/>
        </w:rPr>
      </w:pPr>
    </w:p>
    <w:p w14:paraId="502B6E86" w14:textId="77777777" w:rsidR="004E6A54" w:rsidRDefault="004E6A54" w:rsidP="003D3D43">
      <w:pPr>
        <w:keepLines w:val="0"/>
        <w:jc w:val="both"/>
        <w:rPr>
          <w:rFonts w:cs="Arial"/>
          <w:color w:val="000000"/>
        </w:rPr>
      </w:pPr>
    </w:p>
    <w:p w14:paraId="293C1A86" w14:textId="48C8888D" w:rsidR="00906E03" w:rsidRPr="003D3D43" w:rsidRDefault="00906E03" w:rsidP="003D3D43">
      <w:pPr>
        <w:keepLines w:val="0"/>
        <w:jc w:val="both"/>
        <w:rPr>
          <w:rFonts w:cs="Arial"/>
          <w:color w:val="000000"/>
        </w:rPr>
      </w:pPr>
      <w:r w:rsidRPr="003D3D43">
        <w:rPr>
          <w:rFonts w:cs="Arial"/>
          <w:color w:val="000000"/>
        </w:rPr>
        <w:t>Pour les années N+1 à N+4, la dotation soins sera actualisée dans le respect des enveloppes limitatives régionales et en fonction de la politique de reconduction des tarifs mentionnés dans le rapport d’orientations budgétaires.</w:t>
      </w:r>
      <w:r w:rsidR="00E57B06" w:rsidRPr="003D3D43">
        <w:rPr>
          <w:rFonts w:cs="Arial"/>
          <w:color w:val="000000"/>
        </w:rPr>
        <w:t xml:space="preserve"> En outre la dotation soins évoluera conformément au terme de la réforme de la tarification engagée en 2017 (convergence tarifaire positive et négative) sur la base de la validation du GMPS selon la réglementation en vigueur.</w:t>
      </w:r>
    </w:p>
    <w:p w14:paraId="4099AFEB" w14:textId="77777777" w:rsidR="00E57B06" w:rsidRPr="003D3D43" w:rsidRDefault="00E57B06" w:rsidP="003D3D43">
      <w:pPr>
        <w:keepLines w:val="0"/>
        <w:jc w:val="both"/>
        <w:rPr>
          <w:rFonts w:cs="Arial"/>
          <w:color w:val="000000"/>
        </w:rPr>
      </w:pPr>
    </w:p>
    <w:p w14:paraId="2819AC3B" w14:textId="77777777" w:rsidR="00E57B06" w:rsidRPr="003D3D43" w:rsidRDefault="00E57B06" w:rsidP="003D3D43">
      <w:pPr>
        <w:keepLines w:val="0"/>
        <w:jc w:val="both"/>
        <w:rPr>
          <w:rFonts w:cs="Arial"/>
        </w:rPr>
      </w:pPr>
      <w:r w:rsidRPr="003D3D43">
        <w:rPr>
          <w:rFonts w:cs="Arial"/>
          <w:color w:val="000000"/>
        </w:rPr>
        <w:t>En effet, le décret n°2016-1814 du 21 décembre 2016 réforme le modèle de tarification des EHPAD et des petites unités de vie (PUV). Le nouveau modèle de tarification objective l’allocation de ressources par la mise en place de forfaits sur les soins et la dépendance en fonction de l’état de dépendance des résidents (GMP) et de leurs besoins en soins (PMP).</w:t>
      </w:r>
    </w:p>
    <w:p w14:paraId="7BF10E66" w14:textId="77777777" w:rsidR="00E57B06" w:rsidRPr="003D3D43" w:rsidRDefault="00E57B06" w:rsidP="003D3D43">
      <w:pPr>
        <w:keepLines w:val="0"/>
        <w:jc w:val="both"/>
        <w:rPr>
          <w:rFonts w:cs="Arial"/>
        </w:rPr>
      </w:pPr>
    </w:p>
    <w:p w14:paraId="69C25D62" w14:textId="77777777" w:rsidR="00E57B06" w:rsidRPr="003D3D43" w:rsidRDefault="00E57B06" w:rsidP="003D3D43">
      <w:pPr>
        <w:keepLines w:val="0"/>
        <w:jc w:val="both"/>
        <w:rPr>
          <w:rFonts w:cs="Arial"/>
        </w:rPr>
      </w:pPr>
      <w:r w:rsidRPr="003D3D43">
        <w:rPr>
          <w:rFonts w:cs="Arial"/>
          <w:color w:val="000000"/>
        </w:rPr>
        <w:t>La validation des GMP et PMP a impérativement lieu sur le 1</w:t>
      </w:r>
      <w:r w:rsidRPr="003D3D43">
        <w:rPr>
          <w:rFonts w:cs="Arial"/>
          <w:color w:val="000000"/>
          <w:vertAlign w:val="superscript"/>
        </w:rPr>
        <w:t>er</w:t>
      </w:r>
      <w:r w:rsidRPr="003D3D43">
        <w:rPr>
          <w:rFonts w:cs="Arial"/>
          <w:color w:val="000000"/>
        </w:rPr>
        <w:t xml:space="preserve"> semestre de l’année pour une prise en compte dans le cadre de la campagne budgétaire N+1. Aucun GMP ni aucun PMP ne pourra être validé postérieurement au 30/6/N pour une prise en compte en N+1. Les médecins valideurs des autorités de tarification disposent d’un délai de 4 mois pour valider les évaluations GMP et PMP transmises par l’établissement. Au-delà de ce délai, la validation est acquise et produit des effets en termes de tarification.</w:t>
      </w:r>
    </w:p>
    <w:p w14:paraId="60855C08" w14:textId="77777777" w:rsidR="00E57B06" w:rsidRPr="003D3D43" w:rsidRDefault="00E57B06" w:rsidP="003D3D43">
      <w:pPr>
        <w:keepLines w:val="0"/>
        <w:jc w:val="both"/>
        <w:rPr>
          <w:rFonts w:cs="Arial"/>
        </w:rPr>
      </w:pPr>
    </w:p>
    <w:p w14:paraId="77287A2A" w14:textId="77777777" w:rsidR="00E57B06" w:rsidRPr="003D3D43" w:rsidRDefault="00E57B06" w:rsidP="003D3D43">
      <w:pPr>
        <w:keepLines w:val="0"/>
        <w:jc w:val="both"/>
        <w:rPr>
          <w:rFonts w:cs="Arial"/>
        </w:rPr>
      </w:pPr>
      <w:r w:rsidRPr="003D3D43">
        <w:rPr>
          <w:rFonts w:cs="Arial"/>
          <w:color w:val="000000"/>
        </w:rPr>
        <w:t>En cas de contractualisation, la validation du GMP et du PMP est réglementaire avant, pendant (au cours de la 3</w:t>
      </w:r>
      <w:r w:rsidRPr="003D3D43">
        <w:rPr>
          <w:rFonts w:cs="Arial"/>
          <w:color w:val="000000"/>
          <w:vertAlign w:val="superscript"/>
        </w:rPr>
        <w:t>ème</w:t>
      </w:r>
      <w:r w:rsidRPr="003D3D43">
        <w:rPr>
          <w:rFonts w:cs="Arial"/>
          <w:color w:val="000000"/>
        </w:rPr>
        <w:t xml:space="preserve"> année du CPOM) et à la conclusion ou au renouvellement du CPOM.</w:t>
      </w:r>
    </w:p>
    <w:p w14:paraId="400742B8" w14:textId="41BCDFCF" w:rsidR="00E57B06" w:rsidRDefault="00E57B06" w:rsidP="003D3D43">
      <w:pPr>
        <w:keepLines w:val="0"/>
        <w:jc w:val="both"/>
        <w:rPr>
          <w:rFonts w:cs="Arial"/>
        </w:rPr>
      </w:pPr>
    </w:p>
    <w:p w14:paraId="05E2E1BE" w14:textId="6BFAEBD2" w:rsidR="004E6A54" w:rsidRDefault="004E6A54" w:rsidP="003D3D43">
      <w:pPr>
        <w:keepLines w:val="0"/>
        <w:jc w:val="both"/>
        <w:rPr>
          <w:rFonts w:cs="Arial"/>
        </w:rPr>
      </w:pPr>
    </w:p>
    <w:p w14:paraId="1435C12A" w14:textId="6D40350F" w:rsidR="004E6A54" w:rsidRDefault="004E6A54" w:rsidP="003D3D43">
      <w:pPr>
        <w:keepLines w:val="0"/>
        <w:jc w:val="both"/>
        <w:rPr>
          <w:rFonts w:cs="Arial"/>
        </w:rPr>
      </w:pPr>
    </w:p>
    <w:p w14:paraId="53406141" w14:textId="67DFEE86" w:rsidR="004E6A54" w:rsidRDefault="004E6A54" w:rsidP="003D3D43">
      <w:pPr>
        <w:keepLines w:val="0"/>
        <w:jc w:val="both"/>
        <w:rPr>
          <w:rFonts w:cs="Arial"/>
        </w:rPr>
      </w:pPr>
    </w:p>
    <w:p w14:paraId="42E0086E" w14:textId="77777777" w:rsidR="004E6A54" w:rsidRPr="003D3D43" w:rsidRDefault="004E6A54" w:rsidP="003D3D43">
      <w:pPr>
        <w:keepLines w:val="0"/>
        <w:jc w:val="both"/>
        <w:rPr>
          <w:rFonts w:cs="Arial"/>
        </w:rPr>
      </w:pPr>
    </w:p>
    <w:p w14:paraId="467B39D6" w14:textId="77777777" w:rsidR="00E57B06" w:rsidRPr="003D3D43" w:rsidRDefault="00E57B06" w:rsidP="00A33994">
      <w:pPr>
        <w:pStyle w:val="Paragraphedeliste"/>
        <w:keepLines w:val="0"/>
        <w:numPr>
          <w:ilvl w:val="0"/>
          <w:numId w:val="24"/>
        </w:numPr>
        <w:jc w:val="both"/>
        <w:rPr>
          <w:rFonts w:cs="Arial"/>
          <w:color w:val="000000"/>
        </w:rPr>
      </w:pPr>
      <w:r w:rsidRPr="003D3D43">
        <w:rPr>
          <w:rFonts w:cs="Arial"/>
          <w:color w:val="000000"/>
          <w:u w:val="single"/>
        </w:rPr>
        <w:lastRenderedPageBreak/>
        <w:t>Les modalités de mise en œuvre de la convergence tarifaire (section soins)</w:t>
      </w:r>
      <w:r w:rsidRPr="003D3D43">
        <w:rPr>
          <w:rFonts w:cs="Arial"/>
          <w:color w:val="000000"/>
        </w:rPr>
        <w:t xml:space="preserve"> : </w:t>
      </w:r>
    </w:p>
    <w:p w14:paraId="0066A30F" w14:textId="77777777" w:rsidR="00E57B06" w:rsidRPr="003D3D43" w:rsidRDefault="00E57B06" w:rsidP="003D3D43">
      <w:pPr>
        <w:keepLines w:val="0"/>
        <w:jc w:val="both"/>
        <w:rPr>
          <w:rFonts w:cs="Arial"/>
          <w:color w:val="000000"/>
        </w:rPr>
      </w:pPr>
    </w:p>
    <w:p w14:paraId="7C8A2188" w14:textId="77777777" w:rsidR="00E57B06" w:rsidRPr="003D3D43" w:rsidRDefault="00E57B06" w:rsidP="003D3D43">
      <w:pPr>
        <w:pStyle w:val="Sansinterligne"/>
        <w:jc w:val="both"/>
        <w:rPr>
          <w:rFonts w:cs="Arial"/>
        </w:rPr>
      </w:pPr>
      <w:r w:rsidRPr="003D3D43">
        <w:rPr>
          <w:rFonts w:cs="Arial"/>
        </w:rPr>
        <w:t xml:space="preserve">La montée en charge de la réforme de la tarification des EHPAD est accélérée pour les financements relatifs aux soins, en application de l’article 64 de la loi n°2018-1203 du 22 décembre 2018 de financement de la sécurité sociale pour 2019. La période transitoire de convergence tarifaire des forfaits soins, prévue à l’article 58 de la loi n° 2015-1776 du 28 décembre 2015 relative à l'adaptation de la société au vieillissement, est désormais fixée de </w:t>
      </w:r>
      <w:r w:rsidRPr="003D3D43">
        <w:rPr>
          <w:rFonts w:cs="Arial"/>
          <w:bCs/>
        </w:rPr>
        <w:t>2017 à 2021.</w:t>
      </w:r>
      <w:r w:rsidRPr="003D3D43">
        <w:rPr>
          <w:rFonts w:cs="Arial"/>
        </w:rPr>
        <w:t xml:space="preserve"> </w:t>
      </w:r>
    </w:p>
    <w:p w14:paraId="5A354941" w14:textId="77777777" w:rsidR="00E57B06" w:rsidRPr="003D3D43" w:rsidRDefault="00E57B06" w:rsidP="003D3D43">
      <w:pPr>
        <w:pStyle w:val="Sansinterligne"/>
        <w:jc w:val="both"/>
        <w:rPr>
          <w:rFonts w:cs="Arial"/>
        </w:rPr>
      </w:pPr>
      <w:r w:rsidRPr="003D3D43">
        <w:rPr>
          <w:rFonts w:cs="Arial"/>
        </w:rPr>
        <w:t xml:space="preserve">Le rythme de convergence des forfaits soins est ainsi porté de 7 à 5 ans afin que l’ensemble des établissements atteigne leur niveau de ressources cible correspondant à l’application de l’équation tarifaire dite « GMPS » </w:t>
      </w:r>
      <w:r w:rsidRPr="003D3D43">
        <w:rPr>
          <w:rFonts w:cs="Arial"/>
          <w:bCs/>
        </w:rPr>
        <w:t>en 2021</w:t>
      </w:r>
      <w:r w:rsidRPr="003D3D43">
        <w:rPr>
          <w:rFonts w:cs="Arial"/>
        </w:rPr>
        <w:t xml:space="preserve"> au lieu de 2023. </w:t>
      </w:r>
    </w:p>
    <w:p w14:paraId="7EDD7A15" w14:textId="77777777" w:rsidR="00E57B06" w:rsidRPr="003D3D43" w:rsidRDefault="00E57B06" w:rsidP="003D3D43">
      <w:pPr>
        <w:keepLines w:val="0"/>
        <w:jc w:val="both"/>
        <w:rPr>
          <w:rFonts w:cs="Arial"/>
        </w:rPr>
      </w:pPr>
    </w:p>
    <w:p w14:paraId="2804B6F7" w14:textId="77777777" w:rsidR="00906E03" w:rsidRPr="003D3D43" w:rsidRDefault="00906E03" w:rsidP="00A33994">
      <w:pPr>
        <w:pStyle w:val="Paragraphedeliste"/>
        <w:keepLines w:val="0"/>
        <w:numPr>
          <w:ilvl w:val="0"/>
          <w:numId w:val="23"/>
        </w:numPr>
        <w:jc w:val="both"/>
        <w:rPr>
          <w:rFonts w:cs="Arial"/>
          <w:bCs/>
          <w:i/>
          <w:iCs/>
          <w:u w:val="single"/>
        </w:rPr>
      </w:pPr>
      <w:r w:rsidRPr="003D3D43">
        <w:rPr>
          <w:rFonts w:cs="Arial"/>
          <w:bCs/>
          <w:i/>
          <w:iCs/>
          <w:u w:val="single"/>
        </w:rPr>
        <w:t>Le forfait global dépendance :</w:t>
      </w:r>
    </w:p>
    <w:p w14:paraId="01F3A125" w14:textId="77777777" w:rsidR="00D41D79" w:rsidRPr="003D3D43" w:rsidRDefault="00D41D79" w:rsidP="003D3D43">
      <w:pPr>
        <w:pStyle w:val="Sansinterligne"/>
        <w:jc w:val="both"/>
        <w:rPr>
          <w:rFonts w:cs="Arial"/>
        </w:rPr>
      </w:pPr>
    </w:p>
    <w:bookmarkEnd w:id="17"/>
    <w:p w14:paraId="2491D3F5" w14:textId="77777777" w:rsidR="00E57B06" w:rsidRPr="003D3D43" w:rsidRDefault="00E57B06" w:rsidP="003D3D43">
      <w:pPr>
        <w:pStyle w:val="Sansinterligne"/>
        <w:jc w:val="both"/>
        <w:rPr>
          <w:rFonts w:cs="Arial"/>
          <w:color w:val="000000"/>
        </w:rPr>
      </w:pPr>
      <w:r w:rsidRPr="003D3D43">
        <w:rPr>
          <w:rFonts w:cs="Arial"/>
          <w:color w:val="333333"/>
          <w:shd w:val="clear" w:color="auto" w:fill="FFFFFF"/>
        </w:rPr>
        <w:t>La </w:t>
      </w:r>
      <w:hyperlink r:id="rId12" w:anchor="LEGIARTI000033715329" w:tgtFrame="_blank" w:tooltip="https://www.legifrance.gouv.fr/affichTexte.do?cidTexte=JORFTEXT000031700731&amp;fastPos=2&amp;fastReqId=2132023794&amp;categorieLien=cid&amp;oldAction=rechTexte#LEGIARTI000033715329" w:history="1">
        <w:r w:rsidRPr="003D3D43">
          <w:rPr>
            <w:rFonts w:cs="Arial"/>
            <w:color w:val="272727"/>
            <w:shd w:val="clear" w:color="auto" w:fill="FFFFFF"/>
          </w:rPr>
          <w:t>loi d’adaptation de la société au vieillissement du 28 décembre 2015</w:t>
        </w:r>
      </w:hyperlink>
      <w:r w:rsidRPr="003D3D43">
        <w:rPr>
          <w:rFonts w:cs="Arial"/>
          <w:color w:val="333333"/>
          <w:shd w:val="clear" w:color="auto" w:fill="FFFFFF"/>
        </w:rPr>
        <w:t> a prévu de nouvelles modalités de fixation des tarifs soins et dépendance des établissements d'hébergement pour personnes âgées dépendantes (EHPAD) fondées sur des équations tarifaires.</w:t>
      </w:r>
    </w:p>
    <w:p w14:paraId="097D256A" w14:textId="77777777" w:rsidR="00E57B06" w:rsidRPr="003D3D43" w:rsidRDefault="00E57B06" w:rsidP="003D3D43">
      <w:pPr>
        <w:pStyle w:val="Sansinterligne"/>
        <w:jc w:val="both"/>
        <w:rPr>
          <w:rFonts w:cs="Arial"/>
          <w:color w:val="000000"/>
        </w:rPr>
      </w:pPr>
    </w:p>
    <w:p w14:paraId="21110AF5" w14:textId="77777777" w:rsidR="00E57B06" w:rsidRPr="003D3D43" w:rsidRDefault="00E57B06" w:rsidP="003D3D43">
      <w:pPr>
        <w:pStyle w:val="Sansinterligne"/>
        <w:jc w:val="both"/>
        <w:rPr>
          <w:rFonts w:cs="Arial"/>
          <w:color w:val="000000"/>
        </w:rPr>
      </w:pPr>
      <w:r w:rsidRPr="003D3D43">
        <w:rPr>
          <w:rFonts w:cs="Arial"/>
          <w:color w:val="000000"/>
        </w:rPr>
        <w:t>Conformément au décret n°2016-1814 du 21 décembre 2016, la dépendance, est financée majoritairement par la Collectivité de Corse, en partie par les résidents, voire par les départements extérieurs lorsque les personnes âgées ont un domicile de secours qui n’est pas en Corse. Elle sert aux prestations d'aide et de surveillance des personnes âgées en perte d'autonomie.</w:t>
      </w:r>
    </w:p>
    <w:p w14:paraId="25DE1C5E" w14:textId="77777777" w:rsidR="00E57B06" w:rsidRPr="003D3D43" w:rsidRDefault="00E57B06" w:rsidP="003D3D43">
      <w:pPr>
        <w:pStyle w:val="Sansinterligne"/>
        <w:jc w:val="both"/>
        <w:rPr>
          <w:rFonts w:cs="Arial"/>
          <w:color w:val="000000"/>
        </w:rPr>
      </w:pPr>
      <w:r w:rsidRPr="003D3D43">
        <w:rPr>
          <w:rFonts w:cs="Arial"/>
          <w:color w:val="000000"/>
        </w:rPr>
        <w:t> </w:t>
      </w:r>
    </w:p>
    <w:p w14:paraId="54F300F0" w14:textId="77777777" w:rsidR="00E57B06" w:rsidRPr="003D3D43" w:rsidRDefault="00E57B06" w:rsidP="003D3D43">
      <w:pPr>
        <w:pStyle w:val="Sansinterligne"/>
        <w:jc w:val="both"/>
        <w:rPr>
          <w:rFonts w:cs="Arial"/>
          <w:color w:val="000000"/>
        </w:rPr>
      </w:pPr>
      <w:r w:rsidRPr="003D3D43">
        <w:rPr>
          <w:rFonts w:cs="Arial"/>
          <w:color w:val="000000"/>
        </w:rPr>
        <w:t>Le forfait global relatif à la dépendance est égal à la somme des éléments suivants :</w:t>
      </w:r>
    </w:p>
    <w:p w14:paraId="0977D946" w14:textId="77777777" w:rsidR="00E57B06" w:rsidRPr="003D3D43" w:rsidRDefault="00E57B06" w:rsidP="00A33994">
      <w:pPr>
        <w:pStyle w:val="Sansinterligne"/>
        <w:keepLines w:val="0"/>
        <w:numPr>
          <w:ilvl w:val="0"/>
          <w:numId w:val="32"/>
        </w:numPr>
        <w:jc w:val="both"/>
        <w:rPr>
          <w:rFonts w:cs="Arial"/>
          <w:color w:val="000000"/>
        </w:rPr>
      </w:pPr>
      <w:r w:rsidRPr="003D3D43">
        <w:rPr>
          <w:rFonts w:cs="Arial"/>
          <w:color w:val="000000"/>
        </w:rPr>
        <w:t>Du résultat de l’équation tarifaire relative à la dépendance calculée sur la base du niveau de perte d’autonomie des personnes hébergées par l’établissement prenant en compte la valeur du GMP validé et précisé au présent CPOM. </w:t>
      </w:r>
    </w:p>
    <w:p w14:paraId="55D6FCFD" w14:textId="61294D60" w:rsidR="00E57B06" w:rsidRPr="003D3D43" w:rsidRDefault="00E57B06" w:rsidP="00A33994">
      <w:pPr>
        <w:pStyle w:val="Sansinterligne"/>
        <w:keepLines w:val="0"/>
        <w:numPr>
          <w:ilvl w:val="0"/>
          <w:numId w:val="32"/>
        </w:numPr>
        <w:jc w:val="both"/>
        <w:rPr>
          <w:rFonts w:cs="Arial"/>
          <w:color w:val="000000"/>
        </w:rPr>
      </w:pPr>
      <w:r w:rsidRPr="003D3D43">
        <w:rPr>
          <w:rFonts w:cs="Arial"/>
          <w:color w:val="000000"/>
        </w:rPr>
        <w:t>Des financements complémentaires définis dans le contrat prévu au IV ter de l’article L.313-12</w:t>
      </w:r>
      <w:r w:rsidR="004E6A54">
        <w:rPr>
          <w:rFonts w:cs="Arial"/>
          <w:color w:val="000000"/>
        </w:rPr>
        <w:t xml:space="preserve"> du CASF</w:t>
      </w:r>
      <w:r w:rsidRPr="003D3D43">
        <w:rPr>
          <w:rFonts w:cs="Arial"/>
          <w:color w:val="000000"/>
        </w:rPr>
        <w:t>. A ce titre la réglementation n’a pas défini les financements complémentaires de la section dépendance et laisse chaque département les allouer aux établissements si nécessaire.</w:t>
      </w:r>
    </w:p>
    <w:p w14:paraId="33B45658" w14:textId="77777777" w:rsidR="00E57B06" w:rsidRPr="003D3D43" w:rsidRDefault="00E57B06" w:rsidP="003D3D43">
      <w:pPr>
        <w:pStyle w:val="Sansinterligne"/>
        <w:jc w:val="both"/>
        <w:rPr>
          <w:rFonts w:cs="Arial"/>
          <w:color w:val="000000"/>
        </w:rPr>
      </w:pPr>
    </w:p>
    <w:p w14:paraId="28613F0B" w14:textId="4C935B87" w:rsidR="00E57B06" w:rsidRPr="003D3D43" w:rsidRDefault="00E57B06" w:rsidP="003D3D43">
      <w:pPr>
        <w:pStyle w:val="Sansinterligne"/>
        <w:jc w:val="both"/>
        <w:rPr>
          <w:rFonts w:cs="Arial"/>
          <w:color w:val="000000"/>
        </w:rPr>
      </w:pPr>
      <w:r w:rsidRPr="003D3D43">
        <w:rPr>
          <w:rFonts w:cs="Arial"/>
          <w:color w:val="000000"/>
        </w:rPr>
        <w:t xml:space="preserve">La part du forfait global relatif à la dépendance mentionnée au 1° de l’article R.314-172 </w:t>
      </w:r>
      <w:r w:rsidR="004E6A54">
        <w:rPr>
          <w:rFonts w:cs="Arial"/>
          <w:color w:val="000000"/>
        </w:rPr>
        <w:t xml:space="preserve">du CASF </w:t>
      </w:r>
      <w:r w:rsidRPr="003D3D43">
        <w:rPr>
          <w:rFonts w:cs="Arial"/>
          <w:color w:val="000000"/>
        </w:rPr>
        <w:t>est modulée en fonction de l’activité réalisée au regard de la capacité de places autorisées et financées d’hébergement permanent de l’établissement conformément aux dispositions de l’article R</w:t>
      </w:r>
      <w:r w:rsidR="004E6A54">
        <w:rPr>
          <w:rFonts w:cs="Arial"/>
          <w:color w:val="000000"/>
        </w:rPr>
        <w:t>.</w:t>
      </w:r>
      <w:r w:rsidRPr="003D3D43">
        <w:rPr>
          <w:rFonts w:cs="Arial"/>
          <w:color w:val="000000"/>
        </w:rPr>
        <w:t xml:space="preserve">314-174 du </w:t>
      </w:r>
      <w:r w:rsidR="00F775D2">
        <w:rPr>
          <w:rFonts w:cs="Arial"/>
          <w:color w:val="000000"/>
        </w:rPr>
        <w:t>CASF</w:t>
      </w:r>
      <w:r w:rsidRPr="003D3D43">
        <w:rPr>
          <w:rFonts w:cs="Arial"/>
          <w:color w:val="000000"/>
        </w:rPr>
        <w:t>, avec un objectif de taux d’occupation d’au moins 95 %. Toutefois, la CdC peut ne pas moduler le forfait dépendance si ce taux d’occupation n’est pas atteint et ceci en cas de circonstances exceptionnelles (travaux de restructuration, crise sanitaire…).</w:t>
      </w:r>
    </w:p>
    <w:p w14:paraId="35BC5101" w14:textId="77777777" w:rsidR="00E57B06" w:rsidRPr="003D3D43" w:rsidRDefault="00E57B06" w:rsidP="003D3D43">
      <w:pPr>
        <w:pStyle w:val="Sansinterligne"/>
        <w:jc w:val="both"/>
        <w:rPr>
          <w:rFonts w:cs="Arial"/>
          <w:color w:val="000000"/>
        </w:rPr>
      </w:pPr>
      <w:r w:rsidRPr="003D3D43">
        <w:rPr>
          <w:rFonts w:cs="Arial"/>
          <w:color w:val="000000"/>
        </w:rPr>
        <w:t> </w:t>
      </w:r>
    </w:p>
    <w:p w14:paraId="147C5C32" w14:textId="769489B0" w:rsidR="00E57B06" w:rsidRPr="003D3D43" w:rsidRDefault="00E57B06" w:rsidP="003D3D43">
      <w:pPr>
        <w:pStyle w:val="Sansinterligne"/>
        <w:jc w:val="both"/>
        <w:rPr>
          <w:rFonts w:cs="Arial"/>
          <w:color w:val="000000"/>
        </w:rPr>
      </w:pPr>
      <w:r w:rsidRPr="003D3D43">
        <w:rPr>
          <w:rFonts w:cs="Arial"/>
          <w:color w:val="000000"/>
        </w:rPr>
        <w:t>La validation des GMP et PMP par les médecins valideurs (ARS/CdC) a impérativement lieu sur le 1</w:t>
      </w:r>
      <w:r w:rsidRPr="003D3D43">
        <w:rPr>
          <w:rFonts w:cs="Arial"/>
          <w:color w:val="000000"/>
          <w:vertAlign w:val="superscript"/>
        </w:rPr>
        <w:t>er</w:t>
      </w:r>
      <w:r w:rsidRPr="003D3D43">
        <w:rPr>
          <w:rFonts w:cs="Arial"/>
          <w:color w:val="000000"/>
        </w:rPr>
        <w:t> semestre de l’année pour une prise en compte dans le cadre de la campagne budgétaire N+1. Seul le GMP sera pris en compte pour le forfait dépendance. Le forfait soins attribué par l’ARS prendr</w:t>
      </w:r>
      <w:r w:rsidR="00F775D2">
        <w:rPr>
          <w:rFonts w:cs="Arial"/>
          <w:color w:val="000000"/>
        </w:rPr>
        <w:t xml:space="preserve">a </w:t>
      </w:r>
      <w:r w:rsidRPr="003D3D43">
        <w:rPr>
          <w:rFonts w:cs="Arial"/>
          <w:color w:val="000000"/>
        </w:rPr>
        <w:t>en compte à la fois le GMP et le PMP.</w:t>
      </w:r>
    </w:p>
    <w:p w14:paraId="264602F8" w14:textId="1E64A0B0" w:rsidR="00906E03" w:rsidRPr="003D3D43" w:rsidRDefault="00E57B06" w:rsidP="003D3D43">
      <w:pPr>
        <w:jc w:val="both"/>
        <w:rPr>
          <w:rFonts w:cs="Arial"/>
        </w:rPr>
      </w:pPr>
      <w:r w:rsidRPr="003D3D43">
        <w:rPr>
          <w:rFonts w:cs="Arial"/>
        </w:rPr>
        <w:t>Le forfait global dépendance évoluera conformément au terme de la réforme de la tarification engagée en 2017 (convergence tarifaire positive et négative) sur la base de la validation du GMP précité. Le rythme de convergence entre 2017 et 2023 se fera selon une fraction fixée par le législateur (1/7</w:t>
      </w:r>
      <w:r w:rsidRPr="003D3D43">
        <w:rPr>
          <w:rFonts w:cs="Arial"/>
          <w:vertAlign w:val="superscript"/>
        </w:rPr>
        <w:t>e</w:t>
      </w:r>
      <w:r w:rsidRPr="003D3D43">
        <w:rPr>
          <w:rFonts w:cs="Arial"/>
        </w:rPr>
        <w:t> de la différence en 2017, 1/6</w:t>
      </w:r>
      <w:r w:rsidRPr="003D3D43">
        <w:rPr>
          <w:rFonts w:cs="Arial"/>
          <w:vertAlign w:val="superscript"/>
        </w:rPr>
        <w:t>e</w:t>
      </w:r>
      <w:r w:rsidRPr="003D3D43">
        <w:rPr>
          <w:rFonts w:cs="Arial"/>
        </w:rPr>
        <w:t> en 2018, 1/5</w:t>
      </w:r>
      <w:r w:rsidRPr="003D3D43">
        <w:rPr>
          <w:rFonts w:cs="Arial"/>
          <w:vertAlign w:val="superscript"/>
        </w:rPr>
        <w:t>e</w:t>
      </w:r>
      <w:r w:rsidRPr="003D3D43">
        <w:rPr>
          <w:rFonts w:cs="Arial"/>
        </w:rPr>
        <w:t> en 2019, ¼ en 2020, 1/3 en 2021, ½ en 2022 et le reste en 2023).</w:t>
      </w:r>
    </w:p>
    <w:p w14:paraId="15753165" w14:textId="77777777" w:rsidR="00E57B06" w:rsidRPr="003D3D43" w:rsidRDefault="00E57B06" w:rsidP="003D3D43">
      <w:pPr>
        <w:jc w:val="both"/>
        <w:rPr>
          <w:rFonts w:cs="Arial"/>
          <w:b/>
          <w:bCs/>
          <w:i/>
          <w:iCs/>
          <w:u w:val="single"/>
        </w:rPr>
      </w:pPr>
    </w:p>
    <w:p w14:paraId="4BC95164" w14:textId="5F4CED9F" w:rsidR="00906E03" w:rsidRPr="003D3D43" w:rsidRDefault="00906E03" w:rsidP="003D3D43">
      <w:pPr>
        <w:jc w:val="both"/>
        <w:rPr>
          <w:rFonts w:cs="Arial"/>
          <w:b/>
          <w:bCs/>
          <w:i/>
          <w:iCs/>
        </w:rPr>
      </w:pPr>
      <w:r w:rsidRPr="003D3D43">
        <w:rPr>
          <w:rFonts w:cs="Arial"/>
          <w:b/>
          <w:bCs/>
          <w:i/>
          <w:iCs/>
        </w:rPr>
        <w:t>4.1.3</w:t>
      </w:r>
      <w:r w:rsidR="00676BA1" w:rsidRPr="003D3D43">
        <w:rPr>
          <w:rFonts w:cs="Arial"/>
          <w:b/>
          <w:bCs/>
          <w:i/>
          <w:iCs/>
        </w:rPr>
        <w:t xml:space="preserve">- </w:t>
      </w:r>
      <w:r w:rsidRPr="003D3D43">
        <w:rPr>
          <w:rFonts w:cs="Arial"/>
          <w:b/>
          <w:bCs/>
          <w:i/>
          <w:iCs/>
        </w:rPr>
        <w:t>Pour les SSIAD</w:t>
      </w:r>
    </w:p>
    <w:p w14:paraId="05445082" w14:textId="77777777" w:rsidR="00906E03" w:rsidRPr="003D3D43" w:rsidRDefault="00906E03" w:rsidP="003D3D43">
      <w:pPr>
        <w:widowControl w:val="0"/>
        <w:jc w:val="both"/>
        <w:rPr>
          <w:rFonts w:cs="Arial"/>
        </w:rPr>
      </w:pPr>
    </w:p>
    <w:p w14:paraId="28D14346" w14:textId="77777777" w:rsidR="00906E03" w:rsidRPr="003D3D43" w:rsidRDefault="00906E03" w:rsidP="003D3D43">
      <w:pPr>
        <w:widowControl w:val="0"/>
        <w:jc w:val="both"/>
        <w:rPr>
          <w:rFonts w:cs="Arial"/>
        </w:rPr>
      </w:pPr>
      <w:r w:rsidRPr="003D3D43">
        <w:rPr>
          <w:rFonts w:cs="Arial"/>
        </w:rPr>
        <w:t>Conformément au décret n° 2016-1815 du 21 décembre 2016, la signature du présent CPOM entraîne la réalisation d’un État Prévisionnel des Recettes et des Dépenses (EPRD) à compter de l’exercice suivant sa signature.</w:t>
      </w:r>
    </w:p>
    <w:p w14:paraId="7F0EA92C" w14:textId="77777777" w:rsidR="00906E03" w:rsidRPr="003D3D43" w:rsidRDefault="00906E03" w:rsidP="003D3D43">
      <w:pPr>
        <w:widowControl w:val="0"/>
        <w:jc w:val="both"/>
        <w:rPr>
          <w:rFonts w:cs="Arial"/>
          <w:u w:val="single"/>
        </w:rPr>
      </w:pPr>
    </w:p>
    <w:p w14:paraId="707CE788" w14:textId="66AAD86C" w:rsidR="00906E03" w:rsidRPr="003D3D43" w:rsidRDefault="00906E03" w:rsidP="003D3D43">
      <w:pPr>
        <w:widowControl w:val="0"/>
        <w:jc w:val="both"/>
        <w:rPr>
          <w:rFonts w:cs="Arial"/>
        </w:rPr>
      </w:pPr>
      <w:r w:rsidRPr="003D3D43">
        <w:rPr>
          <w:rFonts w:cs="Arial"/>
        </w:rPr>
        <w:t>La dotation globale de soins couvre les activités de soins et les activités de coordination de l’infirmier coordonnateur conformément aux articles R. 314-105 et R. 314-138 </w:t>
      </w:r>
      <w:r w:rsidR="00E57B06" w:rsidRPr="003D3D43">
        <w:rPr>
          <w:rFonts w:cs="Arial"/>
        </w:rPr>
        <w:t>du CASF.</w:t>
      </w:r>
    </w:p>
    <w:p w14:paraId="02CB31A3" w14:textId="77777777" w:rsidR="00906E03" w:rsidRPr="003D3D43" w:rsidRDefault="00906E03" w:rsidP="003D3D43">
      <w:pPr>
        <w:widowControl w:val="0"/>
        <w:jc w:val="both"/>
        <w:rPr>
          <w:rFonts w:cs="Arial"/>
        </w:rPr>
      </w:pPr>
      <w:r w:rsidRPr="003D3D43">
        <w:rPr>
          <w:rFonts w:cs="Arial"/>
        </w:rPr>
        <w:t> </w:t>
      </w:r>
    </w:p>
    <w:p w14:paraId="483BFCFA" w14:textId="77777777" w:rsidR="00906E03" w:rsidRPr="003D3D43" w:rsidRDefault="00906E03" w:rsidP="003D3D43">
      <w:pPr>
        <w:jc w:val="both"/>
        <w:rPr>
          <w:rFonts w:cs="Arial"/>
        </w:rPr>
      </w:pPr>
      <w:r w:rsidRPr="003D3D43">
        <w:rPr>
          <w:rFonts w:cs="Arial"/>
        </w:rPr>
        <w:t xml:space="preserve">Le financement est constitué de la dotation globale de soins versée annuellement au service de soins infirmiers à domicile et abondé chaque année du taux d’évolution retenu en fonction des orientations budgétaires arrêtées dans le rapport établi par l’ARS. </w:t>
      </w:r>
    </w:p>
    <w:p w14:paraId="4064D698" w14:textId="77777777" w:rsidR="00906E03" w:rsidRPr="003D3D43" w:rsidRDefault="00906E03" w:rsidP="003D3D43">
      <w:pPr>
        <w:jc w:val="both"/>
        <w:rPr>
          <w:rFonts w:cs="Arial"/>
        </w:rPr>
      </w:pPr>
    </w:p>
    <w:p w14:paraId="7789528B" w14:textId="77777777" w:rsidR="00906E03" w:rsidRPr="003D3D43" w:rsidRDefault="00906E03" w:rsidP="003D3D43">
      <w:pPr>
        <w:jc w:val="both"/>
        <w:rPr>
          <w:rFonts w:cs="Arial"/>
        </w:rPr>
      </w:pPr>
      <w:r w:rsidRPr="003D3D43">
        <w:rPr>
          <w:rFonts w:cs="Arial"/>
        </w:rPr>
        <w:lastRenderedPageBreak/>
        <w:t xml:space="preserve">Les frais afférents aux soins à domicile dispensés par le SSIAD couvrent les dépenses relatives : aux actes effectués par les infirmiers libéraux, à la rémunération des salariés du service, aux frais de déplacement de ces personnels, aux fournitures et au petit matériel médical et aux autres frais généraux du service. </w:t>
      </w:r>
    </w:p>
    <w:p w14:paraId="6A3089B7" w14:textId="77777777" w:rsidR="00906E03" w:rsidRPr="003D3D43" w:rsidRDefault="00906E03" w:rsidP="003D3D43">
      <w:pPr>
        <w:jc w:val="both"/>
        <w:rPr>
          <w:rFonts w:cs="Arial"/>
        </w:rPr>
      </w:pPr>
      <w:r w:rsidRPr="003D3D43">
        <w:rPr>
          <w:rFonts w:cs="Arial"/>
        </w:rPr>
        <w:t>Sont exclus de cette dotation : les frais médicaux et pharmaceutiques, les changes, les interventions relevant d'aides à domicile ou d'auxiliaires de vie, les soins de kinésithérapie, les consultations médicales, le transfert ambulatoire, les radiologies et tous autres soins.</w:t>
      </w:r>
    </w:p>
    <w:p w14:paraId="63202EFC" w14:textId="77777777" w:rsidR="00906E03" w:rsidRPr="003D3D43" w:rsidRDefault="00906E03" w:rsidP="003D3D43">
      <w:pPr>
        <w:jc w:val="both"/>
        <w:rPr>
          <w:rFonts w:cs="Arial"/>
        </w:rPr>
      </w:pPr>
    </w:p>
    <w:p w14:paraId="3210E53A" w14:textId="5C164183" w:rsidR="00676BA1" w:rsidRPr="003D3D43" w:rsidRDefault="00676BA1" w:rsidP="003D3D43">
      <w:pPr>
        <w:autoSpaceDE w:val="0"/>
        <w:autoSpaceDN w:val="0"/>
        <w:adjustRightInd w:val="0"/>
        <w:jc w:val="both"/>
        <w:rPr>
          <w:rFonts w:cs="Arial"/>
          <w:b/>
          <w:bCs/>
          <w:i/>
          <w:iCs/>
        </w:rPr>
      </w:pPr>
      <w:r w:rsidRPr="003D3D43">
        <w:rPr>
          <w:rFonts w:cs="Arial"/>
          <w:b/>
          <w:bCs/>
          <w:i/>
          <w:iCs/>
        </w:rPr>
        <w:t xml:space="preserve">4.1.4- Tarifs afférents à l’hébergement </w:t>
      </w:r>
    </w:p>
    <w:p w14:paraId="4D369E9D" w14:textId="3E7BB098" w:rsidR="00676BA1" w:rsidRPr="003D3D43" w:rsidRDefault="00676BA1" w:rsidP="003D3D43">
      <w:pPr>
        <w:keepLines w:val="0"/>
        <w:jc w:val="both"/>
        <w:rPr>
          <w:rFonts w:cs="Arial"/>
          <w:color w:val="000000"/>
        </w:rPr>
      </w:pPr>
    </w:p>
    <w:p w14:paraId="2A329DB9" w14:textId="6559D6F3" w:rsidR="00131F51" w:rsidRDefault="00131F51" w:rsidP="00A33994">
      <w:pPr>
        <w:pStyle w:val="Paragraphedeliste"/>
        <w:keepLines w:val="0"/>
        <w:numPr>
          <w:ilvl w:val="0"/>
          <w:numId w:val="25"/>
        </w:numPr>
        <w:jc w:val="both"/>
        <w:rPr>
          <w:rFonts w:cs="Arial"/>
          <w:color w:val="000000"/>
          <w:u w:val="single"/>
        </w:rPr>
      </w:pPr>
      <w:r w:rsidRPr="003D3D43">
        <w:rPr>
          <w:rFonts w:cs="Arial"/>
          <w:color w:val="000000"/>
          <w:u w:val="single"/>
        </w:rPr>
        <w:t>En établissement accueillant des personnes handicapées</w:t>
      </w:r>
    </w:p>
    <w:p w14:paraId="4298281B" w14:textId="72122B7B" w:rsidR="000A3C06" w:rsidRDefault="000A3C06" w:rsidP="000A3C06">
      <w:pPr>
        <w:keepLines w:val="0"/>
        <w:jc w:val="both"/>
        <w:rPr>
          <w:rFonts w:cs="Arial"/>
          <w:color w:val="000000"/>
          <w:u w:val="single"/>
        </w:rPr>
      </w:pPr>
    </w:p>
    <w:p w14:paraId="3E1B13E1" w14:textId="77777777" w:rsidR="000A3C06" w:rsidRPr="000A3C06" w:rsidRDefault="000A3C06" w:rsidP="000A3C06">
      <w:pPr>
        <w:keepLines w:val="0"/>
        <w:jc w:val="both"/>
        <w:rPr>
          <w:rFonts w:cs="Arial"/>
          <w:color w:val="000000"/>
          <w:u w:val="single"/>
        </w:rPr>
      </w:pPr>
    </w:p>
    <w:p w14:paraId="1AA4C73A" w14:textId="77777777" w:rsidR="00131F51" w:rsidRPr="003D3D43" w:rsidRDefault="00131F51" w:rsidP="003D3D43">
      <w:pPr>
        <w:pStyle w:val="Sansinterligne"/>
        <w:jc w:val="both"/>
        <w:rPr>
          <w:rFonts w:cs="Arial"/>
        </w:rPr>
      </w:pPr>
    </w:p>
    <w:p w14:paraId="7454FDAD" w14:textId="427097BF" w:rsidR="000737E3" w:rsidRPr="00350E2C" w:rsidRDefault="000737E3" w:rsidP="003D3D43">
      <w:pPr>
        <w:pStyle w:val="Sansinterligne"/>
        <w:jc w:val="both"/>
        <w:rPr>
          <w:rFonts w:cs="Arial"/>
        </w:rPr>
      </w:pPr>
      <w:r w:rsidRPr="00350E2C">
        <w:rPr>
          <w:rFonts w:cs="Arial"/>
        </w:rPr>
        <w:t xml:space="preserve">Le </w:t>
      </w:r>
      <w:r w:rsidR="000A3C06" w:rsidRPr="00350E2C">
        <w:rPr>
          <w:rFonts w:cs="Arial"/>
        </w:rPr>
        <w:t>P</w:t>
      </w:r>
      <w:r w:rsidRPr="00350E2C">
        <w:rPr>
          <w:rFonts w:cs="Arial"/>
        </w:rPr>
        <w:t xml:space="preserve">résident du Conseil exécutif de Corse arrête les tarifs hébergement conformément aux articles R314-40, R314-42, R314-185 du </w:t>
      </w:r>
      <w:r w:rsidR="00993960" w:rsidRPr="00350E2C">
        <w:rPr>
          <w:rFonts w:cs="Arial"/>
        </w:rPr>
        <w:t>CASF</w:t>
      </w:r>
      <w:r w:rsidRPr="00350E2C">
        <w:rPr>
          <w:rFonts w:cs="Arial"/>
        </w:rPr>
        <w:t>.</w:t>
      </w:r>
    </w:p>
    <w:p w14:paraId="7B94D021" w14:textId="77777777" w:rsidR="000737E3" w:rsidRPr="00350E2C" w:rsidRDefault="000737E3" w:rsidP="003D3D43">
      <w:pPr>
        <w:pStyle w:val="Sansinterligne"/>
        <w:jc w:val="both"/>
        <w:rPr>
          <w:rFonts w:cs="Arial"/>
        </w:rPr>
      </w:pPr>
    </w:p>
    <w:p w14:paraId="17016C9D" w14:textId="2D201655" w:rsidR="000737E3" w:rsidRPr="00350E2C" w:rsidRDefault="000737E3" w:rsidP="003D3D43">
      <w:pPr>
        <w:pStyle w:val="Sansinterligne"/>
        <w:jc w:val="both"/>
        <w:rPr>
          <w:rFonts w:cs="Arial"/>
        </w:rPr>
      </w:pPr>
      <w:r w:rsidRPr="00350E2C">
        <w:rPr>
          <w:rFonts w:cs="Arial"/>
        </w:rPr>
        <w:t xml:space="preserve">Ces modalités peuvent consister : </w:t>
      </w:r>
    </w:p>
    <w:p w14:paraId="0B7CB1B6" w14:textId="5C98EF58" w:rsidR="000737E3" w:rsidRPr="00350E2C" w:rsidRDefault="000737E3" w:rsidP="00A33994">
      <w:pPr>
        <w:pStyle w:val="Sansinterligne"/>
        <w:numPr>
          <w:ilvl w:val="0"/>
          <w:numId w:val="26"/>
        </w:numPr>
        <w:jc w:val="both"/>
        <w:rPr>
          <w:rFonts w:cs="Arial"/>
        </w:rPr>
      </w:pPr>
      <w:r w:rsidRPr="00350E2C">
        <w:rPr>
          <w:rFonts w:cs="Arial"/>
        </w:rPr>
        <w:t>Soit en l'application directe à l'établissement ou au service du taux directeur délibéré par la CdC</w:t>
      </w:r>
      <w:r w:rsidR="00CF73B6" w:rsidRPr="00350E2C">
        <w:rPr>
          <w:rFonts w:cs="Arial"/>
        </w:rPr>
        <w:t>,</w:t>
      </w:r>
      <w:r w:rsidRPr="00350E2C">
        <w:rPr>
          <w:rFonts w:cs="Arial"/>
        </w:rPr>
        <w:t xml:space="preserve"> </w:t>
      </w:r>
    </w:p>
    <w:p w14:paraId="49BA3E0D" w14:textId="7222E7BF" w:rsidR="000737E3" w:rsidRPr="00350E2C" w:rsidRDefault="000737E3" w:rsidP="00A33994">
      <w:pPr>
        <w:pStyle w:val="Sansinterligne"/>
        <w:numPr>
          <w:ilvl w:val="0"/>
          <w:numId w:val="26"/>
        </w:numPr>
        <w:jc w:val="both"/>
        <w:rPr>
          <w:rFonts w:cs="Arial"/>
        </w:rPr>
      </w:pPr>
      <w:r w:rsidRPr="00350E2C">
        <w:rPr>
          <w:rFonts w:cs="Arial"/>
        </w:rPr>
        <w:t>Soit en l'application d'une formule fixe d'actualisation ou de revalorisation dans le contrat</w:t>
      </w:r>
      <w:r w:rsidR="00CF73B6" w:rsidRPr="00350E2C">
        <w:rPr>
          <w:rFonts w:cs="Arial"/>
        </w:rPr>
        <w:t>,</w:t>
      </w:r>
    </w:p>
    <w:p w14:paraId="08EB55A3" w14:textId="77777777" w:rsidR="000737E3" w:rsidRPr="00350E2C" w:rsidRDefault="000737E3" w:rsidP="00A33994">
      <w:pPr>
        <w:pStyle w:val="Sansinterligne"/>
        <w:numPr>
          <w:ilvl w:val="0"/>
          <w:numId w:val="26"/>
        </w:numPr>
        <w:jc w:val="both"/>
        <w:rPr>
          <w:rFonts w:cs="Arial"/>
        </w:rPr>
      </w:pPr>
      <w:r w:rsidRPr="00350E2C">
        <w:rPr>
          <w:rFonts w:cs="Arial"/>
        </w:rPr>
        <w:t>Soit en l'application d'une équation tarifaire, d'un tarif plafond ou d'un algorithme.</w:t>
      </w:r>
    </w:p>
    <w:p w14:paraId="7B2C9C73" w14:textId="77777777" w:rsidR="00350E2C" w:rsidRDefault="00350E2C" w:rsidP="003D3D43">
      <w:pPr>
        <w:pStyle w:val="Sansinterligne"/>
        <w:jc w:val="both"/>
        <w:rPr>
          <w:rFonts w:cs="Arial"/>
          <w:color w:val="0070C0"/>
          <w:highlight w:val="yellow"/>
        </w:rPr>
      </w:pPr>
    </w:p>
    <w:p w14:paraId="04477FB1" w14:textId="14CC42D5" w:rsidR="000A3C06" w:rsidRPr="00E377EE" w:rsidRDefault="000737E3" w:rsidP="003D3D43">
      <w:pPr>
        <w:pStyle w:val="Sansinterligne"/>
        <w:jc w:val="both"/>
        <w:rPr>
          <w:rFonts w:cs="Arial"/>
        </w:rPr>
      </w:pPr>
      <w:r w:rsidRPr="00E377EE">
        <w:rPr>
          <w:rFonts w:cs="Arial"/>
        </w:rPr>
        <w:t xml:space="preserve">Le financement sera alloué et versé </w:t>
      </w:r>
      <w:r w:rsidR="000A3C06" w:rsidRPr="00E377EE">
        <w:rPr>
          <w:rFonts w:cs="Arial"/>
        </w:rPr>
        <w:t>selon l’une des deux modalités suivantes :</w:t>
      </w:r>
    </w:p>
    <w:p w14:paraId="0B4BDCB9" w14:textId="785F52AF" w:rsidR="000A3C06" w:rsidRPr="00E377EE" w:rsidRDefault="000A3C06" w:rsidP="003D3D43">
      <w:pPr>
        <w:pStyle w:val="Sansinterligne"/>
        <w:jc w:val="both"/>
        <w:rPr>
          <w:rFonts w:cs="Arial"/>
        </w:rPr>
      </w:pPr>
    </w:p>
    <w:p w14:paraId="7BF40D97" w14:textId="78235613" w:rsidR="000A3C06" w:rsidRPr="00E377EE" w:rsidRDefault="000A3C06" w:rsidP="000A3C06">
      <w:pPr>
        <w:pStyle w:val="Sansinterligne"/>
        <w:numPr>
          <w:ilvl w:val="0"/>
          <w:numId w:val="38"/>
        </w:numPr>
        <w:jc w:val="both"/>
        <w:rPr>
          <w:rFonts w:cs="Arial"/>
        </w:rPr>
      </w:pPr>
      <w:r w:rsidRPr="00E377EE">
        <w:rPr>
          <w:rFonts w:cs="Arial"/>
        </w:rPr>
        <w:t xml:space="preserve">En facturation mensuelle avec fixation </w:t>
      </w:r>
      <w:r w:rsidR="005306A4" w:rsidRPr="00E377EE">
        <w:rPr>
          <w:rFonts w:cs="Arial"/>
        </w:rPr>
        <w:t>d’un tarif</w:t>
      </w:r>
      <w:r w:rsidRPr="00E377EE">
        <w:rPr>
          <w:rFonts w:cs="Arial"/>
        </w:rPr>
        <w:t xml:space="preserve"> hébergement annuel.</w:t>
      </w:r>
    </w:p>
    <w:p w14:paraId="305E949F" w14:textId="77777777" w:rsidR="000A3C06" w:rsidRPr="00E377EE" w:rsidRDefault="000A3C06" w:rsidP="003D3D43">
      <w:pPr>
        <w:pStyle w:val="Sansinterligne"/>
        <w:jc w:val="both"/>
        <w:rPr>
          <w:rFonts w:cs="Arial"/>
        </w:rPr>
      </w:pPr>
    </w:p>
    <w:p w14:paraId="4E9D1518" w14:textId="5C738D81" w:rsidR="00E57B06" w:rsidRPr="00E377EE" w:rsidRDefault="005306A4" w:rsidP="00E377EE">
      <w:pPr>
        <w:pStyle w:val="Sansinterligne"/>
        <w:numPr>
          <w:ilvl w:val="0"/>
          <w:numId w:val="38"/>
        </w:numPr>
        <w:jc w:val="both"/>
        <w:rPr>
          <w:rFonts w:cs="Arial"/>
        </w:rPr>
      </w:pPr>
      <w:r w:rsidRPr="00E377EE">
        <w:rPr>
          <w:rFonts w:cs="Arial"/>
        </w:rPr>
        <w:t>E</w:t>
      </w:r>
      <w:r w:rsidR="000737E3" w:rsidRPr="00E377EE">
        <w:rPr>
          <w:rFonts w:cs="Arial"/>
        </w:rPr>
        <w:t>n dotation globalisée, avec fixation d’un tarif hébergement pour les départements extérieurs et les usagers sans prise en charge.</w:t>
      </w:r>
      <w:r w:rsidR="00E57B06" w:rsidRPr="00E377EE">
        <w:rPr>
          <w:rFonts w:cs="Arial"/>
        </w:rPr>
        <w:t xml:space="preserve"> Ce financement pourra être modulé en fonction de l’activité réalisée au regard de la capacité de places autorisées de l’ESMS conformément aux dispositions de l’article R314-43-2 du code de l’action sociale et des familles, avec un objectif de taux d’occupation à fixer dans le CPOM (taux d’occupation, nombre de personnes accompagnées, nombre de prestations réalisées.) </w:t>
      </w:r>
    </w:p>
    <w:p w14:paraId="003675FE" w14:textId="4D7FCAD8" w:rsidR="00FE06CE" w:rsidRPr="00E377EE" w:rsidRDefault="00E57B06" w:rsidP="000A3C06">
      <w:pPr>
        <w:pStyle w:val="Sansinterligne"/>
        <w:ind w:left="709"/>
        <w:jc w:val="both"/>
        <w:rPr>
          <w:rFonts w:cs="Arial"/>
        </w:rPr>
      </w:pPr>
      <w:r w:rsidRPr="00E377EE">
        <w:rPr>
          <w:rFonts w:cs="Arial"/>
        </w:rPr>
        <w:t>Toutefois, la CdC peut ne pas moduler la dotation globalisée si ce taux d’occupation n’est pas atteint notamment en cas de circonstances exceptionnelles (travaux de restructuration, crise sanitaire…).</w:t>
      </w:r>
    </w:p>
    <w:p w14:paraId="1BB8F923" w14:textId="58F6E784" w:rsidR="00D41D79" w:rsidRPr="000A3C06" w:rsidRDefault="00D41D79" w:rsidP="000A3C06">
      <w:pPr>
        <w:ind w:left="709"/>
        <w:jc w:val="both"/>
        <w:rPr>
          <w:rFonts w:cs="Arial"/>
          <w:color w:val="0070C0"/>
        </w:rPr>
      </w:pPr>
    </w:p>
    <w:p w14:paraId="131C93D7" w14:textId="77777777" w:rsidR="008F2E0F" w:rsidRPr="003D3D43" w:rsidRDefault="008F2E0F" w:rsidP="003D3D43">
      <w:pPr>
        <w:jc w:val="both"/>
        <w:rPr>
          <w:rFonts w:cs="Arial"/>
          <w:color w:val="000000"/>
        </w:rPr>
      </w:pPr>
    </w:p>
    <w:p w14:paraId="19A1914B" w14:textId="768ECE97" w:rsidR="00D41D79" w:rsidRPr="003D3D43" w:rsidRDefault="00131F51" w:rsidP="00A33994">
      <w:pPr>
        <w:pStyle w:val="Paragraphedeliste"/>
        <w:numPr>
          <w:ilvl w:val="0"/>
          <w:numId w:val="25"/>
        </w:numPr>
        <w:spacing w:after="200" w:line="253" w:lineRule="atLeast"/>
        <w:jc w:val="both"/>
        <w:rPr>
          <w:rFonts w:cs="Arial"/>
          <w:color w:val="000000"/>
          <w:u w:val="single"/>
        </w:rPr>
      </w:pPr>
      <w:r w:rsidRPr="003D3D43">
        <w:rPr>
          <w:rFonts w:cs="Arial"/>
          <w:color w:val="000000"/>
          <w:u w:val="single"/>
        </w:rPr>
        <w:t>E</w:t>
      </w:r>
      <w:r w:rsidR="00D41D79" w:rsidRPr="003D3D43">
        <w:rPr>
          <w:rFonts w:cs="Arial"/>
          <w:color w:val="000000"/>
          <w:u w:val="single"/>
        </w:rPr>
        <w:t>n EHPAD</w:t>
      </w:r>
      <w:r w:rsidR="00D41D79" w:rsidRPr="003D3D43">
        <w:rPr>
          <w:rFonts w:cs="Arial"/>
        </w:rPr>
        <w:t> </w:t>
      </w:r>
    </w:p>
    <w:p w14:paraId="240A5E0E" w14:textId="04185058" w:rsidR="00E57B06" w:rsidRPr="003D3D43" w:rsidRDefault="00E57B06" w:rsidP="003D3D43">
      <w:pPr>
        <w:pStyle w:val="Sansinterligne"/>
        <w:jc w:val="both"/>
        <w:rPr>
          <w:rFonts w:cs="Arial"/>
        </w:rPr>
      </w:pPr>
      <w:r w:rsidRPr="003D3D43">
        <w:rPr>
          <w:rFonts w:cs="Arial"/>
        </w:rPr>
        <w:t>Au terme des dispositions combinées des articles L.3221-9 du code général des collectivités territoriales et L. 313-11 et suivants du CASF, le Président du Conseil exécutif est habilité à conclure la tarification des établissements sociaux et médico-sociaux dans le cadre des CPOM.</w:t>
      </w:r>
    </w:p>
    <w:p w14:paraId="3CC71135" w14:textId="77777777" w:rsidR="00E57B06" w:rsidRPr="003D3D43" w:rsidRDefault="00E57B06" w:rsidP="003D3D43">
      <w:pPr>
        <w:pStyle w:val="Sansinterligne"/>
        <w:jc w:val="both"/>
        <w:rPr>
          <w:rFonts w:cs="Arial"/>
        </w:rPr>
      </w:pPr>
      <w:r w:rsidRPr="003D3D43">
        <w:rPr>
          <w:rFonts w:cs="Arial"/>
        </w:rPr>
        <w:t> </w:t>
      </w:r>
    </w:p>
    <w:p w14:paraId="3BEBFB17" w14:textId="77777777" w:rsidR="00E57B06" w:rsidRPr="003D3D43" w:rsidRDefault="00E57B06" w:rsidP="003D3D43">
      <w:pPr>
        <w:pStyle w:val="Sansinterligne"/>
        <w:jc w:val="both"/>
        <w:rPr>
          <w:rFonts w:cs="Arial"/>
        </w:rPr>
      </w:pPr>
      <w:r w:rsidRPr="003D3D43">
        <w:rPr>
          <w:rFonts w:cs="Arial"/>
        </w:rPr>
        <w:t>Les CPOM fixent les éléments pluriannuels relatifs au tarif hébergement, la détermination annuelle du prix de journée pour les places habilitées à l’aide sociale territoriale n’étant plus soumise à la procédure contradictoire (plus de budget à déposer au 31 octobre de l’année n-1).</w:t>
      </w:r>
    </w:p>
    <w:p w14:paraId="670C7D37" w14:textId="77777777" w:rsidR="00E57B06" w:rsidRPr="003D3D43" w:rsidRDefault="00E57B06" w:rsidP="003D3D43">
      <w:pPr>
        <w:pStyle w:val="Sansinterligne"/>
        <w:jc w:val="both"/>
        <w:rPr>
          <w:rFonts w:cs="Arial"/>
        </w:rPr>
      </w:pPr>
      <w:r w:rsidRPr="003D3D43">
        <w:rPr>
          <w:rFonts w:cs="Arial"/>
        </w:rPr>
        <w:t> </w:t>
      </w:r>
    </w:p>
    <w:p w14:paraId="652C9B58" w14:textId="77777777" w:rsidR="00E57B06" w:rsidRPr="003D3D43" w:rsidRDefault="00E57B06" w:rsidP="003D3D43">
      <w:pPr>
        <w:pStyle w:val="Sansinterligne"/>
        <w:jc w:val="both"/>
        <w:rPr>
          <w:rFonts w:cs="Arial"/>
        </w:rPr>
      </w:pPr>
      <w:r w:rsidRPr="003D3D43">
        <w:rPr>
          <w:rFonts w:cs="Arial"/>
        </w:rPr>
        <w:t>En application des articles R.314-40, R.314-42, R.314-185 du CASF, le prix de journée de l’année N et des années suivantes du CPOM sera calculé dans la limite du taux d’évolution retenu par délibération, l’assemblée de Corse, fixant l’objectif annuel d’évolution des dépenses des établissements et services sociaux et médico-sociaux (ESSMS). Ce prix de journée et son évolution seront néanmoins variables d’un établissement à l’autre afin de tenir compte des situations particulières et des objectifs, il intègrera les principes retenus suivants :</w:t>
      </w:r>
    </w:p>
    <w:p w14:paraId="7B505C2D" w14:textId="77777777" w:rsidR="00E57B06" w:rsidRPr="003D3D43" w:rsidRDefault="00E57B06" w:rsidP="00A33994">
      <w:pPr>
        <w:pStyle w:val="Sansinterligne"/>
        <w:keepLines w:val="0"/>
        <w:numPr>
          <w:ilvl w:val="0"/>
          <w:numId w:val="36"/>
        </w:numPr>
        <w:jc w:val="both"/>
        <w:rPr>
          <w:rFonts w:cs="Arial"/>
        </w:rPr>
      </w:pPr>
      <w:r w:rsidRPr="003D3D43">
        <w:rPr>
          <w:rFonts w:cs="Arial"/>
        </w:rPr>
        <w:t>Principes de maintien du tarif hébergement pour ceux ayant un prix de journée hébergement supérieur ou égal à 80 € TTC et financement des dépenses liées à l’évolution du coût de la vie par redéploiement.</w:t>
      </w:r>
    </w:p>
    <w:p w14:paraId="54ED290D" w14:textId="77777777" w:rsidR="00E57B06" w:rsidRPr="003D3D43" w:rsidRDefault="00E57B06" w:rsidP="00A33994">
      <w:pPr>
        <w:pStyle w:val="Sansinterligne"/>
        <w:keepLines w:val="0"/>
        <w:numPr>
          <w:ilvl w:val="0"/>
          <w:numId w:val="36"/>
        </w:numPr>
        <w:jc w:val="both"/>
        <w:rPr>
          <w:rFonts w:cs="Arial"/>
        </w:rPr>
      </w:pPr>
      <w:r w:rsidRPr="003D3D43">
        <w:rPr>
          <w:rFonts w:cs="Arial"/>
        </w:rPr>
        <w:t>Application du taux directeur avec possibilité de modulation positive pour les EHPAD ayant un déficit, des indicateurs de coûts et un tarif hébergement inférieurs aux moyennes territoriales.</w:t>
      </w:r>
    </w:p>
    <w:p w14:paraId="294CB78F" w14:textId="77777777" w:rsidR="00E57B06" w:rsidRPr="003D3D43" w:rsidRDefault="00E57B06" w:rsidP="00A33994">
      <w:pPr>
        <w:pStyle w:val="Sansinterligne"/>
        <w:keepLines w:val="0"/>
        <w:numPr>
          <w:ilvl w:val="0"/>
          <w:numId w:val="36"/>
        </w:numPr>
        <w:jc w:val="both"/>
        <w:rPr>
          <w:rFonts w:cs="Arial"/>
        </w:rPr>
      </w:pPr>
      <w:r w:rsidRPr="003D3D43">
        <w:rPr>
          <w:rFonts w:cs="Arial"/>
        </w:rPr>
        <w:t>Application d’un taux d’évolution compris entre 0 et le taux directeur pour les EHPAD ayant un excédent et/ou des indicateurs de coûts et/ou un tarif hébergement supérieurs aux moyennes territoriales.</w:t>
      </w:r>
    </w:p>
    <w:p w14:paraId="7F2AA8A2" w14:textId="77777777" w:rsidR="00E57B06" w:rsidRPr="003D3D43" w:rsidRDefault="00E57B06" w:rsidP="003D3D43">
      <w:pPr>
        <w:pStyle w:val="Sansinterligne"/>
        <w:ind w:left="720"/>
        <w:jc w:val="both"/>
        <w:rPr>
          <w:rFonts w:cs="Arial"/>
        </w:rPr>
      </w:pPr>
    </w:p>
    <w:p w14:paraId="477745D0" w14:textId="1581AC90" w:rsidR="00424EB5" w:rsidRDefault="00E57B06" w:rsidP="00C76353">
      <w:pPr>
        <w:pStyle w:val="Sansinterligne"/>
        <w:jc w:val="both"/>
        <w:rPr>
          <w:rFonts w:cs="Arial"/>
        </w:rPr>
      </w:pPr>
      <w:r w:rsidRPr="003D3D43">
        <w:rPr>
          <w:rFonts w:cs="Arial"/>
        </w:rPr>
        <w:t>En cas de projet architectural, l’impact sur le tarif sera arrêté par la Collectivité de Corse, dans un souci de limitation du surcoût sur le prix de journée et sur la base d’un plan pluriannuel d’investissement. </w:t>
      </w:r>
    </w:p>
    <w:p w14:paraId="552BCE4C" w14:textId="0C96224A" w:rsidR="008F2E0F" w:rsidRDefault="008F2E0F" w:rsidP="003D3D43">
      <w:pPr>
        <w:jc w:val="both"/>
        <w:rPr>
          <w:rFonts w:cs="Arial"/>
          <w:color w:val="000000"/>
        </w:rPr>
      </w:pPr>
    </w:p>
    <w:p w14:paraId="4D1C7D12" w14:textId="77777777" w:rsidR="008F2E0F" w:rsidRPr="003D3D43" w:rsidRDefault="008F2E0F" w:rsidP="003D3D43">
      <w:pPr>
        <w:jc w:val="both"/>
        <w:rPr>
          <w:rFonts w:cs="Arial"/>
          <w:color w:val="000000"/>
        </w:rPr>
      </w:pPr>
    </w:p>
    <w:p w14:paraId="3FA862A7" w14:textId="77777777" w:rsidR="00E57B06" w:rsidRPr="003D3D43" w:rsidRDefault="00E57B06" w:rsidP="00A33994">
      <w:pPr>
        <w:pStyle w:val="Paragraphedeliste"/>
        <w:numPr>
          <w:ilvl w:val="0"/>
          <w:numId w:val="24"/>
        </w:numPr>
        <w:jc w:val="both"/>
        <w:rPr>
          <w:rFonts w:cs="Arial"/>
          <w:color w:val="000000"/>
          <w:u w:val="single"/>
        </w:rPr>
      </w:pPr>
      <w:r w:rsidRPr="003D3D43">
        <w:rPr>
          <w:rFonts w:cs="Arial"/>
          <w:color w:val="000000"/>
          <w:u w:val="single"/>
        </w:rPr>
        <w:t>Les situations particulières et/ou extrêmes pourraient faire l’objet d’une stratégie spécifique</w:t>
      </w:r>
    </w:p>
    <w:p w14:paraId="7F712B16" w14:textId="77777777" w:rsidR="00424EB5" w:rsidRPr="003D3D43" w:rsidRDefault="00424EB5" w:rsidP="003D3D43">
      <w:pPr>
        <w:pStyle w:val="Sansinterligne"/>
        <w:jc w:val="both"/>
        <w:rPr>
          <w:rFonts w:cs="Arial"/>
        </w:rPr>
      </w:pPr>
    </w:p>
    <w:p w14:paraId="7E2DBBDD" w14:textId="1B03E4E7" w:rsidR="00E57B06" w:rsidRPr="003D3D43" w:rsidRDefault="00E57B06" w:rsidP="003D3D43">
      <w:pPr>
        <w:keepLines w:val="0"/>
        <w:spacing w:after="200" w:line="253" w:lineRule="atLeast"/>
        <w:jc w:val="both"/>
        <w:rPr>
          <w:rFonts w:cs="Arial"/>
          <w:color w:val="000000"/>
        </w:rPr>
      </w:pPr>
      <w:r w:rsidRPr="003D3D43">
        <w:rPr>
          <w:rFonts w:cs="Arial"/>
          <w:color w:val="000000"/>
          <w:u w:val="single"/>
        </w:rPr>
        <w:t>Traitement des résultats comptables antérieurs à la signature des CPOM en EHPAD</w:t>
      </w:r>
      <w:r w:rsidRPr="003D3D43">
        <w:rPr>
          <w:rFonts w:cs="Arial"/>
          <w:color w:val="000000"/>
        </w:rPr>
        <w:t> :</w:t>
      </w:r>
    </w:p>
    <w:p w14:paraId="3B8D0F70" w14:textId="77777777" w:rsidR="00E57B06" w:rsidRPr="003D3D43" w:rsidRDefault="00E57B06" w:rsidP="003D3D43">
      <w:pPr>
        <w:jc w:val="both"/>
        <w:rPr>
          <w:rFonts w:cs="Arial"/>
          <w:color w:val="000000"/>
        </w:rPr>
      </w:pPr>
      <w:r w:rsidRPr="003D3D43">
        <w:rPr>
          <w:rFonts w:cs="Arial"/>
          <w:color w:val="000000"/>
        </w:rPr>
        <w:t>Conformément à la réglementation liée aux CPOM, les résultats comptables, qu’ils soient déficitaires ou excédentaires, ne seront plus repris en hausse ou en baisse du tarif hébergement. En ce sens, les gestionnaires ne pourront plus solliciter une hausse du tarif hébergement en cas de déficit. Cela renforce la nécessité pour les établissements de contenir leurs dépenses et de les limiter aux produits notifiés.</w:t>
      </w:r>
    </w:p>
    <w:p w14:paraId="2D9602CC" w14:textId="77777777" w:rsidR="00E57B06" w:rsidRPr="003D3D43" w:rsidRDefault="00E57B06" w:rsidP="003D3D43">
      <w:pPr>
        <w:jc w:val="both"/>
        <w:rPr>
          <w:rFonts w:cs="Arial"/>
          <w:color w:val="000000"/>
        </w:rPr>
      </w:pPr>
      <w:r w:rsidRPr="003D3D43">
        <w:rPr>
          <w:rFonts w:cs="Arial"/>
          <w:color w:val="000000"/>
        </w:rPr>
        <w:t>En cas d’excédent significatif en hébergement (poste vacant, excédent structurel...), la CdC se réservera le droit de ne pas appliquer d’augmentation sur le prix de journée, voire de le baisser. </w:t>
      </w:r>
    </w:p>
    <w:p w14:paraId="6EF60E0B" w14:textId="77777777" w:rsidR="00E57B06" w:rsidRPr="003D3D43" w:rsidRDefault="00E57B06" w:rsidP="003D3D43">
      <w:pPr>
        <w:jc w:val="both"/>
        <w:rPr>
          <w:rFonts w:cs="Arial"/>
          <w:color w:val="000000"/>
        </w:rPr>
      </w:pPr>
      <w:r w:rsidRPr="003D3D43">
        <w:rPr>
          <w:rFonts w:cs="Arial"/>
          <w:color w:val="000000"/>
        </w:rPr>
        <w:t>Le diagnostic réalisé avant les CPOM, pour chaque EHPAD, permettra de prioriser et de valider les actions. Celui-ci prendra en compte en plus des indicateurs mentionnés, les</w:t>
      </w:r>
      <w:r w:rsidRPr="003D3D43">
        <w:rPr>
          <w:rFonts w:cs="Arial"/>
          <w:color w:val="FF0000"/>
        </w:rPr>
        <w:t xml:space="preserve"> </w:t>
      </w:r>
      <w:r w:rsidRPr="003D3D43">
        <w:rPr>
          <w:rFonts w:cs="Arial"/>
          <w:color w:val="000000"/>
        </w:rPr>
        <w:t>éléments qualitatifs (rapport d’évaluation externe, indicateurs ANAP, rapports d’inspection…)  et les orientations stratégiques de la CdC et de l’ARS.</w:t>
      </w:r>
    </w:p>
    <w:p w14:paraId="7085B634" w14:textId="77777777" w:rsidR="00E57B06" w:rsidRPr="003D3D43" w:rsidRDefault="00E57B06" w:rsidP="003D3D43">
      <w:pPr>
        <w:jc w:val="both"/>
        <w:rPr>
          <w:rFonts w:cs="Arial"/>
          <w:color w:val="000000"/>
        </w:rPr>
      </w:pPr>
      <w:r w:rsidRPr="003D3D43">
        <w:rPr>
          <w:rFonts w:cs="Arial"/>
          <w:color w:val="000000"/>
        </w:rPr>
        <w:t> </w:t>
      </w:r>
    </w:p>
    <w:p w14:paraId="54ABCC9F" w14:textId="77777777" w:rsidR="00E57B06" w:rsidRPr="003D3D43" w:rsidRDefault="00E57B06" w:rsidP="003D3D43">
      <w:pPr>
        <w:jc w:val="both"/>
        <w:rPr>
          <w:rFonts w:cs="Arial"/>
          <w:color w:val="000000"/>
        </w:rPr>
      </w:pPr>
      <w:r w:rsidRPr="003D3D43">
        <w:rPr>
          <w:rFonts w:cs="Arial"/>
          <w:color w:val="000000"/>
        </w:rPr>
        <w:t>La gestion des résultats constatés avant la signature des CPOM doit être intégrée à chaque CPOM et donner lieu à une règle homogène et identique pour l’ensemble des EHPAD.</w:t>
      </w:r>
    </w:p>
    <w:p w14:paraId="6C4AFA22" w14:textId="338EDB89" w:rsidR="00E57B06" w:rsidRPr="003D3D43" w:rsidRDefault="00E57B06" w:rsidP="003D3D43">
      <w:pPr>
        <w:pStyle w:val="Sansinterligne"/>
        <w:jc w:val="both"/>
        <w:rPr>
          <w:rFonts w:cs="Arial"/>
          <w:color w:val="000000"/>
        </w:rPr>
      </w:pPr>
      <w:r w:rsidRPr="003D3D43">
        <w:rPr>
          <w:rFonts w:cs="Arial"/>
        </w:rPr>
        <w:t> </w:t>
      </w:r>
      <w:r w:rsidRPr="003D3D43">
        <w:rPr>
          <w:rFonts w:cs="Arial"/>
          <w:color w:val="FF0000"/>
        </w:rPr>
        <w:t> </w:t>
      </w:r>
    </w:p>
    <w:p w14:paraId="136AE5E9" w14:textId="77777777" w:rsidR="00E57B06" w:rsidRPr="003D3D43" w:rsidRDefault="00E57B06" w:rsidP="003D3D43">
      <w:pPr>
        <w:keepLines w:val="0"/>
        <w:jc w:val="both"/>
        <w:rPr>
          <w:rFonts w:cs="Arial"/>
          <w:color w:val="000000"/>
        </w:rPr>
      </w:pPr>
      <w:r w:rsidRPr="003D3D43">
        <w:rPr>
          <w:rFonts w:cs="Arial"/>
          <w:color w:val="000000"/>
          <w:u w:val="single"/>
        </w:rPr>
        <w:t>EHPAD habilités pour moins de 50 % à l’aide sociale</w:t>
      </w:r>
      <w:r w:rsidRPr="003D3D43">
        <w:rPr>
          <w:rFonts w:cs="Arial"/>
          <w:color w:val="000000"/>
        </w:rPr>
        <w:t> :</w:t>
      </w:r>
    </w:p>
    <w:p w14:paraId="0702E35B" w14:textId="77777777" w:rsidR="00E57B06" w:rsidRPr="003D3D43" w:rsidRDefault="00E57B06" w:rsidP="003D3D43">
      <w:pPr>
        <w:jc w:val="both"/>
        <w:rPr>
          <w:rFonts w:cs="Arial"/>
          <w:color w:val="000000"/>
        </w:rPr>
      </w:pPr>
      <w:r w:rsidRPr="003D3D43">
        <w:rPr>
          <w:rFonts w:cs="Arial"/>
          <w:color w:val="000000"/>
        </w:rPr>
        <w:t> </w:t>
      </w:r>
    </w:p>
    <w:p w14:paraId="14D8C705" w14:textId="77777777" w:rsidR="00E57B06" w:rsidRPr="003D3D43" w:rsidRDefault="00E57B06" w:rsidP="003D3D43">
      <w:pPr>
        <w:jc w:val="both"/>
        <w:rPr>
          <w:rFonts w:cs="Arial"/>
          <w:color w:val="000000"/>
        </w:rPr>
      </w:pPr>
      <w:r w:rsidRPr="003D3D43">
        <w:rPr>
          <w:rFonts w:cs="Arial"/>
          <w:color w:val="000000"/>
        </w:rPr>
        <w:t>Au moment de la signature des CPOM, les résultats hébergement de ces établissements ne faisant pas l’objet d’une reprise systématique au vu de la réglementation actuelle, aucune mesure généralisée ne sera prévue dans le cadre des CPOM pour résorber leurs déficits ou reprendre leurs excédents antérieurs.</w:t>
      </w:r>
    </w:p>
    <w:p w14:paraId="5B57BDB1" w14:textId="77777777" w:rsidR="00E57B06" w:rsidRPr="003D3D43" w:rsidRDefault="00E57B06" w:rsidP="003D3D43">
      <w:pPr>
        <w:jc w:val="both"/>
        <w:rPr>
          <w:rFonts w:cs="Arial"/>
          <w:color w:val="000000"/>
        </w:rPr>
      </w:pPr>
      <w:r w:rsidRPr="003D3D43">
        <w:rPr>
          <w:rFonts w:cs="Arial"/>
          <w:color w:val="000000"/>
        </w:rPr>
        <w:t> </w:t>
      </w:r>
    </w:p>
    <w:p w14:paraId="501515F4" w14:textId="77777777" w:rsidR="00E57B06" w:rsidRPr="003D3D43" w:rsidRDefault="00E57B06" w:rsidP="003D3D43">
      <w:pPr>
        <w:jc w:val="both"/>
        <w:rPr>
          <w:rFonts w:cs="Arial"/>
          <w:color w:val="000000"/>
        </w:rPr>
      </w:pPr>
      <w:r w:rsidRPr="003D3D43">
        <w:rPr>
          <w:rFonts w:cs="Arial"/>
          <w:color w:val="000000"/>
        </w:rPr>
        <w:t>Selon les situations, dès lors qu’un déficit cumulé significatif sera constaté, la Collectivité de Corse, en lien avec le gestionnaire de l’EHPAD et l’ARS, pourra proposer une stratégie de résorption des déficits, en mobilisant par ordre de priorité et de façon cumulée, le cas échéant, les leviers suivants :</w:t>
      </w:r>
    </w:p>
    <w:p w14:paraId="53F805A2" w14:textId="77777777" w:rsidR="00E57B06" w:rsidRPr="003D3D43" w:rsidRDefault="00E57B06" w:rsidP="00A33994">
      <w:pPr>
        <w:keepLines w:val="0"/>
        <w:numPr>
          <w:ilvl w:val="0"/>
          <w:numId w:val="31"/>
        </w:numPr>
        <w:spacing w:line="253" w:lineRule="atLeast"/>
        <w:ind w:left="502"/>
        <w:jc w:val="both"/>
        <w:rPr>
          <w:rFonts w:cs="Arial"/>
          <w:color w:val="000000"/>
        </w:rPr>
      </w:pPr>
      <w:r w:rsidRPr="003D3D43">
        <w:rPr>
          <w:rFonts w:cs="Arial"/>
          <w:color w:val="000000"/>
        </w:rPr>
        <w:t>Une fongibilité des réserves de compensation et des reports à nouveau non affectés toutes sections confondues, dont les reports à nouveau excédentaires de l’activité non habilitée constatés au bilan financier de l’EHPAD (donc sur la base de l’activité totale, au-delà de la seule activité aide sociale).</w:t>
      </w:r>
    </w:p>
    <w:p w14:paraId="6CFD0971" w14:textId="77777777" w:rsidR="00E57B06" w:rsidRPr="003D3D43" w:rsidRDefault="00E57B06" w:rsidP="00A33994">
      <w:pPr>
        <w:keepLines w:val="0"/>
        <w:numPr>
          <w:ilvl w:val="0"/>
          <w:numId w:val="31"/>
        </w:numPr>
        <w:spacing w:line="253" w:lineRule="atLeast"/>
        <w:ind w:left="502"/>
        <w:jc w:val="both"/>
        <w:rPr>
          <w:rFonts w:cs="Arial"/>
          <w:color w:val="000000"/>
        </w:rPr>
      </w:pPr>
      <w:r w:rsidRPr="003D3D43">
        <w:rPr>
          <w:rFonts w:cs="Arial"/>
          <w:color w:val="000000"/>
        </w:rPr>
        <w:t>Par une mutualisation des résultats et des réserves de différents ESSMS gérés par le même organisme gestionnaire, tant sur le secteur du handicap que de la dépendance, avec l’obligation de passer les écritures comptables correspondantes. </w:t>
      </w:r>
    </w:p>
    <w:p w14:paraId="42601BFA" w14:textId="77777777" w:rsidR="00E57B06" w:rsidRPr="003D3D43" w:rsidRDefault="00E57B06" w:rsidP="00A33994">
      <w:pPr>
        <w:keepLines w:val="0"/>
        <w:numPr>
          <w:ilvl w:val="0"/>
          <w:numId w:val="31"/>
        </w:numPr>
        <w:spacing w:line="253" w:lineRule="atLeast"/>
        <w:ind w:left="502"/>
        <w:jc w:val="both"/>
        <w:rPr>
          <w:rFonts w:cs="Arial"/>
          <w:color w:val="000000"/>
        </w:rPr>
      </w:pPr>
      <w:r w:rsidRPr="003D3D43">
        <w:rPr>
          <w:rFonts w:cs="Arial"/>
          <w:color w:val="000000"/>
        </w:rPr>
        <w:t>Par des économies à dégager pour les EHPAD ayant un tarif hébergement supérieur à la moyenne territoriale observée et au vu des indicateurs des coûts immobiliers, encadrement et cadre de vie.</w:t>
      </w:r>
    </w:p>
    <w:p w14:paraId="7C1E1D42" w14:textId="77777777" w:rsidR="00E57B06" w:rsidRPr="003D3D43" w:rsidRDefault="00E57B06" w:rsidP="00A33994">
      <w:pPr>
        <w:keepLines w:val="0"/>
        <w:numPr>
          <w:ilvl w:val="0"/>
          <w:numId w:val="31"/>
        </w:numPr>
        <w:spacing w:line="253" w:lineRule="atLeast"/>
        <w:ind w:left="502"/>
        <w:jc w:val="both"/>
        <w:rPr>
          <w:rFonts w:cs="Arial"/>
          <w:color w:val="000000"/>
        </w:rPr>
      </w:pPr>
      <w:r w:rsidRPr="003D3D43">
        <w:rPr>
          <w:rFonts w:cs="Arial"/>
          <w:color w:val="000000"/>
        </w:rPr>
        <w:t>Par le rebasage des forfaits dépendance et soins prévu par la réglementation</w:t>
      </w:r>
    </w:p>
    <w:p w14:paraId="2A556C35" w14:textId="77777777" w:rsidR="00E57B06" w:rsidRPr="003D3D43" w:rsidRDefault="00E57B06" w:rsidP="00A33994">
      <w:pPr>
        <w:keepLines w:val="0"/>
        <w:numPr>
          <w:ilvl w:val="0"/>
          <w:numId w:val="31"/>
        </w:numPr>
        <w:spacing w:line="253" w:lineRule="atLeast"/>
        <w:ind w:left="502"/>
        <w:jc w:val="both"/>
        <w:rPr>
          <w:rFonts w:cs="Arial"/>
          <w:color w:val="000000"/>
        </w:rPr>
      </w:pPr>
      <w:r w:rsidRPr="003D3D43">
        <w:rPr>
          <w:rFonts w:cs="Arial"/>
          <w:color w:val="000000"/>
        </w:rPr>
        <w:t>Par un étalement de la reprise du déficit en hausse du prix de journée, en priorité, pour les EHPAD ayant un tarif hébergement inférieur à la moyenne territoriale observée et au vu des indicateurs de coût immobilier, encadrement et cadre de vie.</w:t>
      </w:r>
    </w:p>
    <w:p w14:paraId="66469B27" w14:textId="77777777" w:rsidR="00E57B06" w:rsidRPr="003D3D43" w:rsidRDefault="00E57B06" w:rsidP="003D3D43">
      <w:pPr>
        <w:ind w:left="142"/>
        <w:jc w:val="both"/>
        <w:rPr>
          <w:rFonts w:cs="Arial"/>
          <w:color w:val="000000"/>
        </w:rPr>
      </w:pPr>
      <w:r w:rsidRPr="003D3D43">
        <w:rPr>
          <w:rFonts w:cs="Arial"/>
          <w:color w:val="000000"/>
        </w:rPr>
        <w:t> </w:t>
      </w:r>
    </w:p>
    <w:p w14:paraId="3DBB0EA5" w14:textId="77777777" w:rsidR="00E57B06" w:rsidRPr="003D3D43" w:rsidRDefault="00E57B06" w:rsidP="003D3D43">
      <w:pPr>
        <w:keepLines w:val="0"/>
        <w:jc w:val="both"/>
        <w:rPr>
          <w:rFonts w:cs="Arial"/>
          <w:color w:val="000000"/>
        </w:rPr>
      </w:pPr>
      <w:r w:rsidRPr="003D3D43">
        <w:rPr>
          <w:rFonts w:cs="Arial"/>
          <w:color w:val="000000"/>
          <w:u w:val="single"/>
        </w:rPr>
        <w:t>EHPAD habilités en totalité ou pour plus de 50 % à l’aide sociale</w:t>
      </w:r>
      <w:r w:rsidRPr="003D3D43">
        <w:rPr>
          <w:rFonts w:cs="Arial"/>
          <w:color w:val="000000"/>
        </w:rPr>
        <w:t> :</w:t>
      </w:r>
    </w:p>
    <w:p w14:paraId="4C2DA3DC" w14:textId="77777777" w:rsidR="00E57B06" w:rsidRPr="003D3D43" w:rsidRDefault="00E57B06" w:rsidP="003D3D43">
      <w:pPr>
        <w:ind w:firstLine="708"/>
        <w:jc w:val="both"/>
        <w:rPr>
          <w:rFonts w:cs="Arial"/>
          <w:color w:val="000000"/>
        </w:rPr>
      </w:pPr>
      <w:r w:rsidRPr="003D3D43">
        <w:rPr>
          <w:rFonts w:cs="Arial"/>
          <w:color w:val="FF0000"/>
        </w:rPr>
        <w:t> </w:t>
      </w:r>
    </w:p>
    <w:p w14:paraId="0DF4198C" w14:textId="77777777" w:rsidR="00E57B06" w:rsidRPr="003D3D43" w:rsidRDefault="00E57B06" w:rsidP="003D3D43">
      <w:pPr>
        <w:jc w:val="both"/>
        <w:rPr>
          <w:rFonts w:cs="Arial"/>
          <w:color w:val="000000"/>
        </w:rPr>
      </w:pPr>
      <w:r w:rsidRPr="003D3D43">
        <w:rPr>
          <w:rFonts w:cs="Arial"/>
          <w:color w:val="000000"/>
        </w:rPr>
        <w:t>A ce jour, la CdC affectait les résultats hébergement de ces établissements et pouvait les reprendre en totalité ou en partie :</w:t>
      </w:r>
    </w:p>
    <w:p w14:paraId="6884D58A" w14:textId="77777777" w:rsidR="00E57B06" w:rsidRPr="003D3D43" w:rsidRDefault="00E57B06" w:rsidP="003D3D43">
      <w:pPr>
        <w:jc w:val="both"/>
        <w:rPr>
          <w:rFonts w:cs="Arial"/>
          <w:color w:val="000000"/>
        </w:rPr>
      </w:pPr>
      <w:r w:rsidRPr="003D3D43">
        <w:rPr>
          <w:rFonts w:cs="Arial"/>
          <w:color w:val="000000"/>
        </w:rPr>
        <w:t> </w:t>
      </w:r>
    </w:p>
    <w:p w14:paraId="4B010C7D" w14:textId="77777777" w:rsidR="00E57B06" w:rsidRPr="003D3D43" w:rsidRDefault="00E57B06" w:rsidP="00A33994">
      <w:pPr>
        <w:keepLines w:val="0"/>
        <w:numPr>
          <w:ilvl w:val="0"/>
          <w:numId w:val="33"/>
        </w:numPr>
        <w:spacing w:line="253" w:lineRule="atLeast"/>
        <w:jc w:val="both"/>
        <w:rPr>
          <w:rFonts w:cs="Arial"/>
          <w:color w:val="000000"/>
        </w:rPr>
      </w:pPr>
      <w:r w:rsidRPr="003D3D43">
        <w:rPr>
          <w:rFonts w:cs="Arial"/>
          <w:color w:val="000000"/>
        </w:rPr>
        <w:t>En stabilité du tarif hébergement en cas d’excédent</w:t>
      </w:r>
    </w:p>
    <w:p w14:paraId="0248ECD5" w14:textId="77777777" w:rsidR="00E57B06" w:rsidRPr="003D3D43" w:rsidRDefault="00E57B06" w:rsidP="00A33994">
      <w:pPr>
        <w:keepLines w:val="0"/>
        <w:numPr>
          <w:ilvl w:val="0"/>
          <w:numId w:val="33"/>
        </w:numPr>
        <w:spacing w:line="253" w:lineRule="atLeast"/>
        <w:jc w:val="both"/>
        <w:rPr>
          <w:rFonts w:cs="Arial"/>
          <w:color w:val="000000"/>
        </w:rPr>
      </w:pPr>
      <w:r w:rsidRPr="003D3D43">
        <w:rPr>
          <w:rFonts w:cs="Arial"/>
          <w:color w:val="000000"/>
        </w:rPr>
        <w:t>En hausse du tarif hébergement en cas de déficit</w:t>
      </w:r>
    </w:p>
    <w:p w14:paraId="42B25D8D" w14:textId="77777777" w:rsidR="00E57B06" w:rsidRPr="003D3D43" w:rsidRDefault="00E57B06" w:rsidP="003D3D43">
      <w:pPr>
        <w:jc w:val="both"/>
        <w:rPr>
          <w:rFonts w:cs="Arial"/>
          <w:color w:val="000000"/>
        </w:rPr>
      </w:pPr>
      <w:r w:rsidRPr="003D3D43">
        <w:rPr>
          <w:rFonts w:cs="Arial"/>
          <w:color w:val="000000"/>
        </w:rPr>
        <w:t> </w:t>
      </w:r>
    </w:p>
    <w:p w14:paraId="4FBBD094" w14:textId="77777777" w:rsidR="00E57B06" w:rsidRPr="003D3D43" w:rsidRDefault="00E57B06" w:rsidP="003D3D43">
      <w:pPr>
        <w:jc w:val="both"/>
        <w:rPr>
          <w:rFonts w:cs="Arial"/>
          <w:color w:val="000000"/>
        </w:rPr>
      </w:pPr>
      <w:r w:rsidRPr="003D3D43">
        <w:rPr>
          <w:rFonts w:cs="Arial"/>
          <w:color w:val="000000"/>
        </w:rPr>
        <w:t>Les résultats excédentaires en attente d’affectation seront affectés à la signature du CPOM.</w:t>
      </w:r>
    </w:p>
    <w:p w14:paraId="733D8CE3" w14:textId="77777777" w:rsidR="00E57B06" w:rsidRPr="003D3D43" w:rsidRDefault="00E57B06" w:rsidP="003D3D43">
      <w:pPr>
        <w:jc w:val="both"/>
        <w:rPr>
          <w:rFonts w:cs="Arial"/>
          <w:color w:val="000000"/>
        </w:rPr>
      </w:pPr>
      <w:r w:rsidRPr="003D3D43">
        <w:rPr>
          <w:rFonts w:cs="Arial"/>
          <w:color w:val="000000"/>
        </w:rPr>
        <w:t> </w:t>
      </w:r>
    </w:p>
    <w:p w14:paraId="1B52D97A" w14:textId="77777777" w:rsidR="00E57B06" w:rsidRPr="003D3D43" w:rsidRDefault="00E57B06" w:rsidP="003D3D43">
      <w:pPr>
        <w:jc w:val="both"/>
        <w:rPr>
          <w:rFonts w:cs="Arial"/>
          <w:color w:val="000000"/>
        </w:rPr>
      </w:pPr>
      <w:r w:rsidRPr="003D3D43">
        <w:rPr>
          <w:rFonts w:cs="Arial"/>
          <w:color w:val="000000"/>
        </w:rPr>
        <w:t>Pour les établissements ayant des déficits cumulés, le CPOM indiquera les modalités d’apurement en utilisant les leviers suivants :</w:t>
      </w:r>
    </w:p>
    <w:p w14:paraId="546DDE48" w14:textId="77777777" w:rsidR="00E57B06" w:rsidRPr="003D3D43" w:rsidRDefault="00E57B06" w:rsidP="003D3D43">
      <w:pPr>
        <w:jc w:val="both"/>
        <w:rPr>
          <w:rFonts w:cs="Arial"/>
          <w:color w:val="000000"/>
        </w:rPr>
      </w:pPr>
      <w:r w:rsidRPr="003D3D43">
        <w:rPr>
          <w:rFonts w:cs="Arial"/>
          <w:color w:val="000000"/>
        </w:rPr>
        <w:t> </w:t>
      </w:r>
    </w:p>
    <w:p w14:paraId="15F55C81" w14:textId="77777777" w:rsidR="00E57B06" w:rsidRPr="003D3D43" w:rsidRDefault="00E57B06" w:rsidP="00A33994">
      <w:pPr>
        <w:keepLines w:val="0"/>
        <w:numPr>
          <w:ilvl w:val="0"/>
          <w:numId w:val="34"/>
        </w:numPr>
        <w:spacing w:line="253" w:lineRule="atLeast"/>
        <w:ind w:left="502"/>
        <w:jc w:val="both"/>
        <w:rPr>
          <w:rFonts w:cs="Arial"/>
          <w:color w:val="000000"/>
        </w:rPr>
      </w:pPr>
      <w:bookmarkStart w:id="18" w:name="_Hlk60732771"/>
      <w:r w:rsidRPr="003D3D43">
        <w:rPr>
          <w:rFonts w:cs="Arial"/>
          <w:color w:val="000000"/>
        </w:rPr>
        <w:lastRenderedPageBreak/>
        <w:t>La résorption des déficits, en première intention, par une fongibilité des réserves de compensation et des reports à nouveau non affectés toutes sections confondues (celles-ci devenant fongibles avec les CPOM comme le précisent l’article R 314-234 du CASF et l’instruction N° DGCS/SD5C/2017/96 du 21 mars 2017).</w:t>
      </w:r>
    </w:p>
    <w:bookmarkEnd w:id="18"/>
    <w:p w14:paraId="00EA8D5F" w14:textId="77777777" w:rsidR="00E57B06" w:rsidRPr="003D3D43" w:rsidRDefault="00E57B06" w:rsidP="00A33994">
      <w:pPr>
        <w:keepLines w:val="0"/>
        <w:numPr>
          <w:ilvl w:val="0"/>
          <w:numId w:val="34"/>
        </w:numPr>
        <w:spacing w:line="253" w:lineRule="atLeast"/>
        <w:ind w:left="502"/>
        <w:jc w:val="both"/>
        <w:rPr>
          <w:rFonts w:cs="Arial"/>
          <w:color w:val="000000"/>
        </w:rPr>
      </w:pPr>
      <w:r w:rsidRPr="003D3D43">
        <w:rPr>
          <w:rFonts w:cs="Arial"/>
          <w:color w:val="000000"/>
        </w:rPr>
        <w:t>Le rebasage des forfaits dépendance et soins prévu par la réglementation.</w:t>
      </w:r>
    </w:p>
    <w:p w14:paraId="413E1415" w14:textId="77777777" w:rsidR="00E57B06" w:rsidRPr="003D3D43" w:rsidRDefault="00E57B06" w:rsidP="00A33994">
      <w:pPr>
        <w:keepLines w:val="0"/>
        <w:numPr>
          <w:ilvl w:val="0"/>
          <w:numId w:val="34"/>
        </w:numPr>
        <w:spacing w:line="253" w:lineRule="atLeast"/>
        <w:ind w:left="502"/>
        <w:jc w:val="both"/>
        <w:rPr>
          <w:rFonts w:cs="Arial"/>
          <w:color w:val="000000"/>
        </w:rPr>
      </w:pPr>
      <w:r w:rsidRPr="003D3D43">
        <w:rPr>
          <w:rFonts w:cs="Arial"/>
          <w:color w:val="000000"/>
        </w:rPr>
        <w:t>Des économies à dégager pour les EHPAD ayant un tarif hébergement supérieur à la moyenne territoriale observée et au vu des indicateurs des coûts immobiliers, encadrement et cadre de vie. </w:t>
      </w:r>
    </w:p>
    <w:p w14:paraId="059547AB" w14:textId="77777777" w:rsidR="00E57B06" w:rsidRPr="003D3D43" w:rsidRDefault="00E57B06" w:rsidP="00A33994">
      <w:pPr>
        <w:keepLines w:val="0"/>
        <w:numPr>
          <w:ilvl w:val="0"/>
          <w:numId w:val="34"/>
        </w:numPr>
        <w:spacing w:line="253" w:lineRule="atLeast"/>
        <w:ind w:left="502"/>
        <w:jc w:val="both"/>
        <w:rPr>
          <w:rFonts w:cs="Arial"/>
          <w:color w:val="000000"/>
        </w:rPr>
      </w:pPr>
      <w:r w:rsidRPr="003D3D43">
        <w:rPr>
          <w:rFonts w:cs="Arial"/>
          <w:color w:val="000000"/>
        </w:rPr>
        <w:t>Une mutualisation des résultats et des réserves de différents ESSMS gérés par le même organisme gestionnaire, tant sur le secteur du handicap que de la dépendance, avec l’obligation de passer les écritures comptables correspondantes. </w:t>
      </w:r>
    </w:p>
    <w:p w14:paraId="4AEB287D" w14:textId="77777777" w:rsidR="00E57B06" w:rsidRPr="003D3D43" w:rsidRDefault="00E57B06" w:rsidP="00A33994">
      <w:pPr>
        <w:keepLines w:val="0"/>
        <w:numPr>
          <w:ilvl w:val="0"/>
          <w:numId w:val="34"/>
        </w:numPr>
        <w:spacing w:line="253" w:lineRule="atLeast"/>
        <w:ind w:left="502"/>
        <w:jc w:val="both"/>
        <w:rPr>
          <w:rFonts w:cs="Arial"/>
          <w:color w:val="000000"/>
        </w:rPr>
      </w:pPr>
      <w:r w:rsidRPr="003D3D43">
        <w:rPr>
          <w:rFonts w:cs="Arial"/>
          <w:color w:val="000000"/>
        </w:rPr>
        <w:t>Un étalement de la reprise du déficit en hausse du prix de journée, en priorité, pour les EHPAD ayant un tarif hébergement inférieur à la moyenne territoriale observée et au vu des indicateurs de coût immobilier, encadrement et cadre de vie.</w:t>
      </w:r>
    </w:p>
    <w:p w14:paraId="3A7D142F" w14:textId="77777777" w:rsidR="00E57B06" w:rsidRPr="003D3D43" w:rsidRDefault="00E57B06" w:rsidP="003D3D43">
      <w:pPr>
        <w:spacing w:line="253" w:lineRule="atLeast"/>
        <w:ind w:left="502"/>
        <w:jc w:val="both"/>
        <w:rPr>
          <w:rFonts w:cs="Arial"/>
          <w:color w:val="000000"/>
        </w:rPr>
      </w:pPr>
      <w:r w:rsidRPr="003D3D43">
        <w:rPr>
          <w:rFonts w:cs="Arial"/>
          <w:color w:val="000000"/>
        </w:rPr>
        <w:t>  </w:t>
      </w:r>
    </w:p>
    <w:p w14:paraId="6B7C2191" w14:textId="77777777" w:rsidR="00E57B06" w:rsidRPr="003D3D43" w:rsidRDefault="00E57B06" w:rsidP="003D3D43">
      <w:pPr>
        <w:keepLines w:val="0"/>
        <w:jc w:val="both"/>
        <w:rPr>
          <w:rFonts w:cs="Arial"/>
          <w:color w:val="000000"/>
        </w:rPr>
      </w:pPr>
      <w:r w:rsidRPr="003D3D43">
        <w:rPr>
          <w:rFonts w:cs="Arial"/>
          <w:color w:val="000000"/>
          <w:u w:val="single"/>
        </w:rPr>
        <w:t>Les modalités complémentaires</w:t>
      </w:r>
      <w:r w:rsidRPr="003D3D43">
        <w:rPr>
          <w:rFonts w:cs="Arial"/>
          <w:color w:val="000000"/>
        </w:rPr>
        <w:t> :</w:t>
      </w:r>
    </w:p>
    <w:p w14:paraId="1420B75B" w14:textId="77777777" w:rsidR="00E57B06" w:rsidRPr="003D3D43" w:rsidRDefault="00E57B06" w:rsidP="003D3D43">
      <w:pPr>
        <w:ind w:firstLine="502"/>
        <w:jc w:val="both"/>
        <w:rPr>
          <w:rFonts w:cs="Arial"/>
          <w:color w:val="000000"/>
        </w:rPr>
      </w:pPr>
      <w:r w:rsidRPr="003D3D43">
        <w:rPr>
          <w:rFonts w:cs="Arial"/>
          <w:b/>
          <w:bCs/>
          <w:color w:val="000000"/>
        </w:rPr>
        <w:t> </w:t>
      </w:r>
    </w:p>
    <w:p w14:paraId="4626E551" w14:textId="77777777" w:rsidR="00E57B06" w:rsidRPr="003D3D43" w:rsidRDefault="00E57B06" w:rsidP="003D3D43">
      <w:pPr>
        <w:jc w:val="both"/>
        <w:rPr>
          <w:rFonts w:cs="Arial"/>
          <w:color w:val="000000"/>
        </w:rPr>
      </w:pPr>
      <w:r w:rsidRPr="003D3D43">
        <w:rPr>
          <w:rFonts w:cs="Arial"/>
          <w:color w:val="000000"/>
        </w:rPr>
        <w:t>Dans le cas d’une reprise de déficit en hausse du prix de journée, celui-ci pourra être étalé sur plusieurs années et sur une durée supérieure à celle du CPOM (5 ans). A la fin de la reprise du déficit, la CdC se réservera le droit de baisser le tarif hébergement ou de geler l’augmentation du tarif sur plusieurs années.</w:t>
      </w:r>
    </w:p>
    <w:p w14:paraId="5D38244C" w14:textId="77777777" w:rsidR="00E57B06" w:rsidRPr="003D3D43" w:rsidRDefault="00E57B06" w:rsidP="003D3D43">
      <w:pPr>
        <w:jc w:val="both"/>
        <w:rPr>
          <w:rFonts w:cs="Arial"/>
          <w:color w:val="000000"/>
        </w:rPr>
      </w:pPr>
      <w:r w:rsidRPr="003D3D43">
        <w:rPr>
          <w:rFonts w:cs="Arial"/>
          <w:color w:val="000000"/>
        </w:rPr>
        <w:t> </w:t>
      </w:r>
    </w:p>
    <w:p w14:paraId="4DD56993" w14:textId="755E1165" w:rsidR="00E57B06" w:rsidRPr="003D3D43" w:rsidRDefault="00E57B06" w:rsidP="003D3D43">
      <w:pPr>
        <w:jc w:val="both"/>
        <w:rPr>
          <w:rFonts w:cs="Arial"/>
          <w:color w:val="000000"/>
        </w:rPr>
      </w:pPr>
      <w:r w:rsidRPr="003D3D43">
        <w:rPr>
          <w:rFonts w:cs="Arial"/>
          <w:color w:val="000000"/>
        </w:rPr>
        <w:t xml:space="preserve">Pour les gestionnaires multi-établissements, le CPOM pourra prévoir conformément à l’article R 314-235 du </w:t>
      </w:r>
      <w:r w:rsidR="00C76353">
        <w:rPr>
          <w:rFonts w:cs="Arial"/>
          <w:color w:val="000000"/>
        </w:rPr>
        <w:t>CASF</w:t>
      </w:r>
      <w:r w:rsidRPr="003D3D43">
        <w:rPr>
          <w:rFonts w:cs="Arial"/>
          <w:color w:val="000000"/>
        </w:rPr>
        <w:t xml:space="preserve"> de mutualiser les résultats :</w:t>
      </w:r>
    </w:p>
    <w:p w14:paraId="0F4010CF" w14:textId="77777777" w:rsidR="00E57B06" w:rsidRPr="003D3D43" w:rsidRDefault="00E57B06" w:rsidP="003D3D43">
      <w:pPr>
        <w:jc w:val="both"/>
        <w:rPr>
          <w:rFonts w:cs="Arial"/>
          <w:color w:val="000000"/>
        </w:rPr>
      </w:pPr>
      <w:r w:rsidRPr="003D3D43">
        <w:rPr>
          <w:rFonts w:cs="Arial"/>
          <w:color w:val="000000"/>
        </w:rPr>
        <w:t> </w:t>
      </w:r>
    </w:p>
    <w:p w14:paraId="27D197F6" w14:textId="77777777" w:rsidR="00E57B06" w:rsidRPr="003D3D43" w:rsidRDefault="00E57B06" w:rsidP="00A33994">
      <w:pPr>
        <w:keepLines w:val="0"/>
        <w:numPr>
          <w:ilvl w:val="0"/>
          <w:numId w:val="35"/>
        </w:numPr>
        <w:spacing w:line="253" w:lineRule="atLeast"/>
        <w:jc w:val="both"/>
        <w:rPr>
          <w:rFonts w:cs="Arial"/>
          <w:color w:val="000000"/>
        </w:rPr>
      </w:pPr>
      <w:r w:rsidRPr="003D3D43">
        <w:rPr>
          <w:rFonts w:cs="Arial"/>
          <w:color w:val="000000"/>
        </w:rPr>
        <w:t>Par exemple, un déficit d’un EHPAD pourra être compensé par un excédent d’un autre EHPAD ou d’un établissement du secteur PH.</w:t>
      </w:r>
    </w:p>
    <w:p w14:paraId="2EBF8C23" w14:textId="77777777" w:rsidR="00E57B06" w:rsidRPr="003D3D43" w:rsidRDefault="00E57B06" w:rsidP="00A33994">
      <w:pPr>
        <w:keepLines w:val="0"/>
        <w:numPr>
          <w:ilvl w:val="0"/>
          <w:numId w:val="35"/>
        </w:numPr>
        <w:spacing w:line="253" w:lineRule="atLeast"/>
        <w:jc w:val="both"/>
        <w:rPr>
          <w:rFonts w:cs="Arial"/>
          <w:color w:val="000000"/>
        </w:rPr>
      </w:pPr>
      <w:r w:rsidRPr="003D3D43">
        <w:rPr>
          <w:rFonts w:cs="Arial"/>
          <w:color w:val="000000"/>
        </w:rPr>
        <w:t>Un résultat excédentaire d’un EHPAD pourra être utilisé pour financer des investissements d’un autre EHPAD.</w:t>
      </w:r>
    </w:p>
    <w:p w14:paraId="056FF768" w14:textId="77777777" w:rsidR="00E57B06" w:rsidRPr="003D3D43" w:rsidRDefault="00E57B06" w:rsidP="003D3D43">
      <w:pPr>
        <w:jc w:val="both"/>
        <w:rPr>
          <w:rFonts w:cs="Arial"/>
          <w:color w:val="000000"/>
        </w:rPr>
      </w:pPr>
      <w:r w:rsidRPr="003D3D43">
        <w:rPr>
          <w:rFonts w:cs="Arial"/>
          <w:color w:val="000000"/>
        </w:rPr>
        <w:t> </w:t>
      </w:r>
    </w:p>
    <w:p w14:paraId="3372F858" w14:textId="6790D8A5" w:rsidR="00E57B06" w:rsidRPr="003D3D43" w:rsidRDefault="00E57B06" w:rsidP="003D3D43">
      <w:pPr>
        <w:jc w:val="both"/>
        <w:rPr>
          <w:rFonts w:cs="Arial"/>
          <w:color w:val="000000"/>
        </w:rPr>
      </w:pPr>
      <w:r w:rsidRPr="003D3D43">
        <w:rPr>
          <w:rFonts w:cs="Arial"/>
          <w:color w:val="000000"/>
        </w:rPr>
        <w:t xml:space="preserve">Pour les ESMS ayant un déficit important, un Plan de Retour à l’Equilibre (PRE) sera exigé avec le CPOM conformément au B de l’article L 313-12 du </w:t>
      </w:r>
      <w:r w:rsidR="00C76353">
        <w:rPr>
          <w:rFonts w:cs="Arial"/>
          <w:color w:val="000000"/>
        </w:rPr>
        <w:t>CASF</w:t>
      </w:r>
      <w:r w:rsidRPr="003D3D43">
        <w:rPr>
          <w:rFonts w:cs="Arial"/>
          <w:color w:val="000000"/>
        </w:rPr>
        <w:t xml:space="preserve">. Dans ce cas, l’EPRD de l’ESSMS, conformément au II de l’article R 314-235 du </w:t>
      </w:r>
      <w:r w:rsidR="00C76353">
        <w:rPr>
          <w:rFonts w:cs="Arial"/>
          <w:color w:val="000000"/>
        </w:rPr>
        <w:t>CASF</w:t>
      </w:r>
      <w:r w:rsidRPr="003D3D43">
        <w:rPr>
          <w:rFonts w:cs="Arial"/>
          <w:color w:val="000000"/>
        </w:rPr>
        <w:t xml:space="preserve"> sera réputé « rejeté » si, à l’issue d’un délai de trente jours suivant sa réception, l’autorité de tarification n’a pas fait connaître son approbation</w:t>
      </w:r>
    </w:p>
    <w:p w14:paraId="5CAE1E36" w14:textId="77777777" w:rsidR="00E57B06" w:rsidRPr="003D3D43" w:rsidRDefault="00E57B06" w:rsidP="003D3D43">
      <w:pPr>
        <w:jc w:val="both"/>
        <w:rPr>
          <w:rFonts w:cs="Arial"/>
          <w:color w:val="000000"/>
        </w:rPr>
      </w:pPr>
      <w:r w:rsidRPr="003D3D43">
        <w:rPr>
          <w:rFonts w:cs="Arial"/>
          <w:color w:val="000000"/>
        </w:rPr>
        <w:t> </w:t>
      </w:r>
    </w:p>
    <w:p w14:paraId="1EC9DA15" w14:textId="77777777" w:rsidR="00E57B06" w:rsidRPr="003D3D43" w:rsidRDefault="00E57B06" w:rsidP="003D3D43">
      <w:pPr>
        <w:jc w:val="both"/>
        <w:rPr>
          <w:rFonts w:cs="Arial"/>
          <w:color w:val="000000"/>
        </w:rPr>
      </w:pPr>
      <w:r w:rsidRPr="003D3D43">
        <w:rPr>
          <w:rFonts w:cs="Arial"/>
          <w:color w:val="000000"/>
        </w:rPr>
        <w:t>En cas de projet architectural, l’impact sur le tarif hébergement sera arrêté par la Collectivité de Corse, dans un souci de limitation du surcoût sur le prix de journée et sur la base d’un plan pluriannuel d’investissement.  </w:t>
      </w:r>
    </w:p>
    <w:p w14:paraId="361F8E44" w14:textId="3C4F4D0D" w:rsidR="00D41D79" w:rsidRPr="003D3D43" w:rsidRDefault="00D41D79" w:rsidP="003D3D43">
      <w:pPr>
        <w:jc w:val="both"/>
        <w:rPr>
          <w:rFonts w:cs="Arial"/>
          <w:color w:val="000000"/>
          <w:sz w:val="22"/>
          <w:szCs w:val="22"/>
        </w:rPr>
      </w:pPr>
      <w:r w:rsidRPr="003D3D43">
        <w:rPr>
          <w:rFonts w:cs="Arial"/>
          <w:color w:val="000000"/>
          <w:sz w:val="22"/>
          <w:szCs w:val="22"/>
        </w:rPr>
        <w:t> </w:t>
      </w:r>
    </w:p>
    <w:p w14:paraId="5B063D45" w14:textId="7F41FB3A" w:rsidR="00943A7A" w:rsidRDefault="00F30988" w:rsidP="003D3D43">
      <w:pPr>
        <w:jc w:val="both"/>
        <w:rPr>
          <w:rFonts w:cs="Arial"/>
          <w:b/>
          <w:bCs/>
          <w:color w:val="0070C0"/>
        </w:rPr>
      </w:pPr>
      <w:r w:rsidRPr="003D3D43">
        <w:rPr>
          <w:rFonts w:cs="Arial"/>
          <w:b/>
          <w:bCs/>
          <w:color w:val="0070C0"/>
        </w:rPr>
        <w:t>4.</w:t>
      </w:r>
      <w:r w:rsidR="009C19EA" w:rsidRPr="003D3D43">
        <w:rPr>
          <w:rFonts w:cs="Arial"/>
          <w:b/>
          <w:bCs/>
          <w:color w:val="0070C0"/>
        </w:rPr>
        <w:t xml:space="preserve">2 </w:t>
      </w:r>
      <w:r w:rsidR="00386D90" w:rsidRPr="003D3D43">
        <w:rPr>
          <w:rFonts w:cs="Arial"/>
          <w:b/>
          <w:bCs/>
          <w:color w:val="0070C0"/>
        </w:rPr>
        <w:t>– La tarification à l’activité</w:t>
      </w:r>
    </w:p>
    <w:p w14:paraId="214FDBDB" w14:textId="77777777" w:rsidR="009E4F52" w:rsidRPr="003D3D43" w:rsidRDefault="009E4F52" w:rsidP="003D3D43">
      <w:pPr>
        <w:jc w:val="both"/>
        <w:rPr>
          <w:rFonts w:cs="Arial"/>
          <w:b/>
          <w:bCs/>
          <w:color w:val="0070C0"/>
        </w:rPr>
      </w:pPr>
    </w:p>
    <w:p w14:paraId="19695EDA" w14:textId="28C71ED7" w:rsidR="00943A7A" w:rsidRPr="003D3D43" w:rsidRDefault="00943A7A" w:rsidP="003D3D43">
      <w:pPr>
        <w:jc w:val="both"/>
        <w:rPr>
          <w:rFonts w:cs="Arial"/>
        </w:rPr>
      </w:pPr>
    </w:p>
    <w:p w14:paraId="79F6EC54" w14:textId="309736BD" w:rsidR="0047490B" w:rsidRPr="003D3D43" w:rsidRDefault="0047490B" w:rsidP="003D3D43">
      <w:pPr>
        <w:jc w:val="both"/>
        <w:rPr>
          <w:rFonts w:cs="Arial"/>
          <w:b/>
          <w:bCs/>
          <w:i/>
          <w:iCs/>
        </w:rPr>
      </w:pPr>
      <w:r w:rsidRPr="003D3D43">
        <w:rPr>
          <w:rFonts w:cs="Arial"/>
          <w:b/>
          <w:bCs/>
          <w:i/>
          <w:iCs/>
        </w:rPr>
        <w:t xml:space="preserve">4.2.1- Pour les établissements accueillant des personnes handicapées </w:t>
      </w:r>
    </w:p>
    <w:p w14:paraId="341BBF90" w14:textId="77777777" w:rsidR="0047490B" w:rsidRPr="003D3D43" w:rsidRDefault="0047490B" w:rsidP="003D3D43">
      <w:pPr>
        <w:jc w:val="both"/>
        <w:rPr>
          <w:rFonts w:cs="Arial"/>
          <w:b/>
          <w:bCs/>
          <w:i/>
          <w:iCs/>
        </w:rPr>
      </w:pPr>
    </w:p>
    <w:p w14:paraId="68FD7354" w14:textId="5662550F" w:rsidR="00943A7A" w:rsidRPr="003D3D43" w:rsidRDefault="00943A7A" w:rsidP="00A33994">
      <w:pPr>
        <w:pStyle w:val="Paragraphedeliste"/>
        <w:keepLines w:val="0"/>
        <w:numPr>
          <w:ilvl w:val="0"/>
          <w:numId w:val="13"/>
        </w:numPr>
        <w:jc w:val="both"/>
        <w:rPr>
          <w:rFonts w:cs="Arial"/>
          <w:u w:val="single"/>
        </w:rPr>
      </w:pPr>
      <w:r w:rsidRPr="003D3D43">
        <w:rPr>
          <w:rFonts w:cs="Arial"/>
          <w:u w:val="single"/>
        </w:rPr>
        <w:t>Les modalités de calcul des taux d’activité</w:t>
      </w:r>
    </w:p>
    <w:p w14:paraId="156616FD" w14:textId="77777777" w:rsidR="00F30988" w:rsidRPr="003D3D43" w:rsidRDefault="00F30988" w:rsidP="003D3D43">
      <w:pPr>
        <w:pStyle w:val="Paragraphedeliste"/>
        <w:keepLines w:val="0"/>
        <w:jc w:val="both"/>
        <w:rPr>
          <w:rFonts w:cs="Arial"/>
          <w:b/>
          <w:bCs/>
          <w:u w:val="single"/>
        </w:rPr>
      </w:pPr>
    </w:p>
    <w:p w14:paraId="0719D575" w14:textId="77777777" w:rsidR="00303688" w:rsidRPr="003D3D43" w:rsidRDefault="00943A7A" w:rsidP="003D3D43">
      <w:pPr>
        <w:jc w:val="both"/>
        <w:rPr>
          <w:rFonts w:cs="Arial"/>
        </w:rPr>
      </w:pPr>
      <w:r w:rsidRPr="003D3D43">
        <w:rPr>
          <w:rFonts w:cs="Arial"/>
          <w:szCs w:val="22"/>
        </w:rPr>
        <w:t>Dans la mesure où les activités des établissements et services pour personnes en situation de handicap peuvent être très diverses, la réglementation ne pose pas de principe sur les modalités de l’activité des structures.</w:t>
      </w:r>
      <w:r w:rsidR="00303688" w:rsidRPr="003D3D43">
        <w:rPr>
          <w:rFonts w:cs="Arial"/>
        </w:rPr>
        <w:t xml:space="preserve"> </w:t>
      </w:r>
      <w:r w:rsidRPr="003D3D43">
        <w:rPr>
          <w:rFonts w:cs="Arial"/>
          <w:bCs/>
          <w:szCs w:val="22"/>
        </w:rPr>
        <w:t xml:space="preserve">Ainsi, des indicateurs de suivi de l’activité devront être inscrits dans le cadre du CPOM. </w:t>
      </w:r>
      <w:r w:rsidR="00303688" w:rsidRPr="003D3D43">
        <w:rPr>
          <w:rFonts w:cs="Arial"/>
        </w:rPr>
        <w:t xml:space="preserve"> </w:t>
      </w:r>
    </w:p>
    <w:p w14:paraId="5DEA213A" w14:textId="147928AB" w:rsidR="00943A7A" w:rsidRPr="003D3D43" w:rsidRDefault="00943A7A" w:rsidP="003D3D43">
      <w:pPr>
        <w:pStyle w:val="Sansinterligne"/>
        <w:jc w:val="both"/>
        <w:rPr>
          <w:rFonts w:cs="Arial"/>
        </w:rPr>
      </w:pPr>
      <w:r w:rsidRPr="003D3D43">
        <w:rPr>
          <w:rFonts w:cs="Arial"/>
        </w:rPr>
        <w:t>A l’exception d’éventuelles clauses contraires justifiées par la spécificité des missions ou des modes de fonctionnement, le taux d’activité sera évalué au moyen d'un ou plusieurs des indicateurs suivants :</w:t>
      </w:r>
    </w:p>
    <w:p w14:paraId="5AB866ED" w14:textId="6D177899" w:rsidR="00943A7A" w:rsidRPr="003D3D43" w:rsidRDefault="00943A7A" w:rsidP="00A33994">
      <w:pPr>
        <w:pStyle w:val="Sansinterligne"/>
        <w:numPr>
          <w:ilvl w:val="0"/>
          <w:numId w:val="14"/>
        </w:numPr>
        <w:jc w:val="both"/>
        <w:rPr>
          <w:rFonts w:cs="Arial"/>
        </w:rPr>
      </w:pPr>
      <w:r w:rsidRPr="003D3D43">
        <w:rPr>
          <w:rFonts w:cs="Arial"/>
        </w:rPr>
        <w:t>Le taux d’occupation, calculé en divisant le nombre de journées réalisées dans l’année par l’établissement ou le service par le nombre de journées théoriques correspondant à la capacité autorisé et financée multiplié par le nombre de journées d’ouverture de l’établissement ou du service</w:t>
      </w:r>
      <w:r w:rsidR="00303688" w:rsidRPr="003D3D43">
        <w:rPr>
          <w:rFonts w:cs="Arial"/>
        </w:rPr>
        <w:t> ;</w:t>
      </w:r>
    </w:p>
    <w:p w14:paraId="6F51858F" w14:textId="4DC794A6" w:rsidR="00943A7A" w:rsidRPr="003D3D43" w:rsidRDefault="00943A7A" w:rsidP="00A33994">
      <w:pPr>
        <w:pStyle w:val="Sansinterligne"/>
        <w:numPr>
          <w:ilvl w:val="0"/>
          <w:numId w:val="14"/>
        </w:numPr>
        <w:jc w:val="both"/>
        <w:rPr>
          <w:rFonts w:cs="Arial"/>
        </w:rPr>
      </w:pPr>
      <w:r w:rsidRPr="003D3D43">
        <w:rPr>
          <w:rFonts w:cs="Arial"/>
        </w:rPr>
        <w:t>Le nombre de personnes accompagnées au cours de l’année civile</w:t>
      </w:r>
      <w:r w:rsidR="00303688" w:rsidRPr="003D3D43">
        <w:rPr>
          <w:rFonts w:cs="Arial"/>
        </w:rPr>
        <w:t> ;</w:t>
      </w:r>
    </w:p>
    <w:p w14:paraId="151AB5D6" w14:textId="50709F41" w:rsidR="00943A7A" w:rsidRPr="003D3D43" w:rsidRDefault="00943A7A" w:rsidP="00A33994">
      <w:pPr>
        <w:pStyle w:val="Sansinterligne"/>
        <w:numPr>
          <w:ilvl w:val="0"/>
          <w:numId w:val="14"/>
        </w:numPr>
        <w:jc w:val="both"/>
        <w:rPr>
          <w:rFonts w:cs="Arial"/>
        </w:rPr>
      </w:pPr>
      <w:r w:rsidRPr="003D3D43">
        <w:rPr>
          <w:rFonts w:cs="Arial"/>
        </w:rPr>
        <w:t>Le nombre de prestations réalisées au cours de l’année civile</w:t>
      </w:r>
      <w:r w:rsidR="00303688" w:rsidRPr="003D3D43">
        <w:rPr>
          <w:rFonts w:cs="Arial"/>
        </w:rPr>
        <w:t>.</w:t>
      </w:r>
    </w:p>
    <w:p w14:paraId="7306C97E" w14:textId="3923D556" w:rsidR="00E174FF" w:rsidRDefault="00E174FF" w:rsidP="003D3D43">
      <w:pPr>
        <w:pStyle w:val="Sansinterligne"/>
        <w:jc w:val="both"/>
        <w:rPr>
          <w:rFonts w:cs="Arial"/>
        </w:rPr>
      </w:pPr>
    </w:p>
    <w:p w14:paraId="2EBC1CE2" w14:textId="01ACDF60" w:rsidR="00E377EE" w:rsidRDefault="00E377EE" w:rsidP="003D3D43">
      <w:pPr>
        <w:pStyle w:val="Sansinterligne"/>
        <w:jc w:val="both"/>
        <w:rPr>
          <w:rFonts w:cs="Arial"/>
        </w:rPr>
      </w:pPr>
    </w:p>
    <w:p w14:paraId="5315F1F1" w14:textId="77777777" w:rsidR="00E377EE" w:rsidRPr="003D3D43" w:rsidRDefault="00E377EE" w:rsidP="003D3D43">
      <w:pPr>
        <w:pStyle w:val="Sansinterligne"/>
        <w:jc w:val="both"/>
        <w:rPr>
          <w:rFonts w:cs="Arial"/>
        </w:rPr>
      </w:pPr>
    </w:p>
    <w:p w14:paraId="5394B6EA" w14:textId="568DF81D" w:rsidR="00943A7A" w:rsidRPr="003D3D43" w:rsidRDefault="00943A7A" w:rsidP="00A33994">
      <w:pPr>
        <w:pStyle w:val="Paragraphedeliste"/>
        <w:keepLines w:val="0"/>
        <w:numPr>
          <w:ilvl w:val="0"/>
          <w:numId w:val="13"/>
        </w:numPr>
        <w:jc w:val="both"/>
        <w:rPr>
          <w:rFonts w:cs="Arial"/>
        </w:rPr>
      </w:pPr>
      <w:r w:rsidRPr="003D3D43">
        <w:rPr>
          <w:rFonts w:cs="Arial"/>
          <w:szCs w:val="22"/>
          <w:u w:val="single"/>
        </w:rPr>
        <w:lastRenderedPageBreak/>
        <w:t xml:space="preserve">Conséquences tarifaires d’un taux d’activité inférieur </w:t>
      </w:r>
    </w:p>
    <w:p w14:paraId="0B3A0D7F" w14:textId="77777777" w:rsidR="00943A7A" w:rsidRPr="003D3D43" w:rsidRDefault="00943A7A" w:rsidP="003D3D43">
      <w:pPr>
        <w:pStyle w:val="Paragraphedeliste"/>
        <w:jc w:val="both"/>
        <w:rPr>
          <w:rFonts w:cs="Arial"/>
          <w:szCs w:val="22"/>
        </w:rPr>
      </w:pPr>
    </w:p>
    <w:p w14:paraId="4D24767C" w14:textId="296F7938" w:rsidR="00943A7A" w:rsidRPr="003D3D43" w:rsidRDefault="00943A7A" w:rsidP="003D3D43">
      <w:pPr>
        <w:pStyle w:val="Sansinterligne"/>
        <w:jc w:val="both"/>
        <w:rPr>
          <w:rFonts w:cs="Arial"/>
        </w:rPr>
      </w:pPr>
      <w:r w:rsidRPr="003D3D43">
        <w:rPr>
          <w:rFonts w:cs="Arial"/>
        </w:rPr>
        <w:t>Au cas où l’activité réalisée serait inférieure aux objectifs définis dans le CPOM, et sous réserve de circonstances susceptibles de justifier toute ou partie de cette sous activité</w:t>
      </w:r>
      <w:r w:rsidR="00424EB5" w:rsidRPr="003D3D43">
        <w:rPr>
          <w:rFonts w:cs="Arial"/>
        </w:rPr>
        <w:t xml:space="preserve">, </w:t>
      </w:r>
      <w:r w:rsidRPr="003D3D43">
        <w:rPr>
          <w:rFonts w:cs="Arial"/>
        </w:rPr>
        <w:t>la dotation globale ou le forfait global fera l’objet d’un abattement qui sera préalablement communiqué au gestionnaire</w:t>
      </w:r>
      <w:r w:rsidR="00424EB5" w:rsidRPr="003D3D43">
        <w:rPr>
          <w:rFonts w:cs="Arial"/>
        </w:rPr>
        <w:t>.</w:t>
      </w:r>
    </w:p>
    <w:p w14:paraId="0AE2597A" w14:textId="77777777" w:rsidR="00943A7A" w:rsidRPr="003D3D43" w:rsidRDefault="00943A7A" w:rsidP="003D3D43">
      <w:pPr>
        <w:pStyle w:val="Sansinterligne"/>
        <w:jc w:val="both"/>
        <w:rPr>
          <w:rFonts w:cs="Arial"/>
        </w:rPr>
      </w:pPr>
    </w:p>
    <w:p w14:paraId="288F5C69" w14:textId="77777777" w:rsidR="00943A7A" w:rsidRPr="003D3D43" w:rsidRDefault="00943A7A" w:rsidP="003D3D43">
      <w:pPr>
        <w:pStyle w:val="Sansinterligne"/>
        <w:jc w:val="both"/>
        <w:rPr>
          <w:rFonts w:cs="Arial"/>
        </w:rPr>
      </w:pPr>
      <w:r w:rsidRPr="003D3D43">
        <w:rPr>
          <w:rFonts w:cs="Arial"/>
        </w:rPr>
        <w:t>Ce pourcentage d’abattement devra être défini par établissement et service et ne pourra être supérieur à la moitié de la différence entre l’objectif d’activité fixé dans le CPOM et l’activité effectivement constatée.</w:t>
      </w:r>
    </w:p>
    <w:p w14:paraId="05D7B61A" w14:textId="1354349F" w:rsidR="00943A7A" w:rsidRPr="003D3D43" w:rsidRDefault="00943A7A" w:rsidP="003D3D43">
      <w:pPr>
        <w:pStyle w:val="Sansinterligne"/>
        <w:jc w:val="both"/>
        <w:rPr>
          <w:rFonts w:cs="Arial"/>
          <w:i/>
        </w:rPr>
      </w:pPr>
      <w:r w:rsidRPr="003D3D43">
        <w:rPr>
          <w:rFonts w:cs="Arial"/>
          <w:i/>
        </w:rPr>
        <w:t xml:space="preserve">Ex : Le gestionnaire et l’ARS ont défini un taux d’occupation d’une MAS à 96%. Si le gestionnaire réalise un taux d’occupation de 95%, sa dotation pourra être minorée de 0,5% maximum. Si le taux d’occupation est de 94%, la dotation pourra être minorée de 1%. </w:t>
      </w:r>
    </w:p>
    <w:p w14:paraId="207377D4" w14:textId="77777777" w:rsidR="008C0DA3" w:rsidRPr="003D3D43" w:rsidRDefault="008C0DA3" w:rsidP="003D3D43">
      <w:pPr>
        <w:pStyle w:val="Sansinterligne"/>
        <w:jc w:val="both"/>
        <w:rPr>
          <w:rFonts w:cs="Arial"/>
          <w:i/>
        </w:rPr>
      </w:pPr>
    </w:p>
    <w:p w14:paraId="40E0ECFC" w14:textId="77777777" w:rsidR="008C0DA3" w:rsidRPr="003D3D43" w:rsidRDefault="008C0DA3" w:rsidP="003D3D43">
      <w:pPr>
        <w:pStyle w:val="Sansinterligne"/>
        <w:jc w:val="both"/>
        <w:rPr>
          <w:rFonts w:cs="Arial"/>
        </w:rPr>
      </w:pPr>
      <w:r w:rsidRPr="003D3D43">
        <w:rPr>
          <w:rFonts w:cs="Arial"/>
        </w:rPr>
        <w:t>La minoration sera notifiée par le Directeur général de l’ARS et/ou le Président de la Collectivité de Corse lors de la notification de la dotation et/ou du forfait suivant l’exercice au cours duquel le taux d’activité fixé n’aura pas été atteint.</w:t>
      </w:r>
    </w:p>
    <w:p w14:paraId="5B91D1FA" w14:textId="04313C77" w:rsidR="00574F45" w:rsidRPr="003D3D43" w:rsidRDefault="00574F45" w:rsidP="003D3D43">
      <w:pPr>
        <w:pStyle w:val="Sansinterligne"/>
        <w:jc w:val="both"/>
        <w:rPr>
          <w:rFonts w:cs="Arial"/>
        </w:rPr>
      </w:pPr>
    </w:p>
    <w:p w14:paraId="6FE95022" w14:textId="294FAB4C" w:rsidR="00574F45" w:rsidRDefault="00574F45" w:rsidP="003D3D43">
      <w:pPr>
        <w:pStyle w:val="Sansinterligne"/>
        <w:jc w:val="both"/>
        <w:rPr>
          <w:rFonts w:cs="Arial"/>
        </w:rPr>
      </w:pPr>
    </w:p>
    <w:p w14:paraId="706B44D8" w14:textId="77777777" w:rsidR="00E377EE" w:rsidRPr="003D3D43" w:rsidRDefault="00E377EE" w:rsidP="003D3D43">
      <w:pPr>
        <w:pStyle w:val="Sansinterligne"/>
        <w:jc w:val="both"/>
        <w:rPr>
          <w:rFonts w:cs="Arial"/>
        </w:rPr>
      </w:pPr>
    </w:p>
    <w:p w14:paraId="794EB67F" w14:textId="21CE1954" w:rsidR="0047490B" w:rsidRPr="003D3D43" w:rsidRDefault="0047490B" w:rsidP="003D3D43">
      <w:pPr>
        <w:jc w:val="both"/>
        <w:rPr>
          <w:rFonts w:cs="Arial"/>
          <w:b/>
          <w:bCs/>
          <w:i/>
          <w:iCs/>
        </w:rPr>
      </w:pPr>
      <w:r w:rsidRPr="003D3D43">
        <w:rPr>
          <w:rFonts w:cs="Arial"/>
          <w:b/>
          <w:bCs/>
          <w:i/>
          <w:iCs/>
        </w:rPr>
        <w:t>4.2.2- Pour les EHPAD</w:t>
      </w:r>
    </w:p>
    <w:p w14:paraId="59C4A40C" w14:textId="77777777" w:rsidR="0047490B" w:rsidRPr="003D3D43" w:rsidRDefault="0047490B" w:rsidP="003D3D43">
      <w:pPr>
        <w:jc w:val="both"/>
        <w:rPr>
          <w:rFonts w:cs="Arial"/>
          <w:b/>
          <w:bCs/>
          <w:i/>
          <w:iCs/>
        </w:rPr>
      </w:pPr>
    </w:p>
    <w:p w14:paraId="75802398" w14:textId="673610AB" w:rsidR="0047490B" w:rsidRPr="003D3D43" w:rsidRDefault="0047490B" w:rsidP="003D3D43">
      <w:pPr>
        <w:keepLines w:val="0"/>
        <w:ind w:right="-1"/>
        <w:jc w:val="both"/>
        <w:rPr>
          <w:rFonts w:cs="Arial"/>
        </w:rPr>
      </w:pPr>
      <w:r w:rsidRPr="003D3D43">
        <w:rPr>
          <w:rFonts w:cs="Arial"/>
          <w:color w:val="000000"/>
        </w:rPr>
        <w:t>L’instruction N° DGCS/SD5C/2017/123 du 7 avril 2017 précise la mise en œuvre de la tarification à l’activité dans les établissements d’hébergement pour personnes âgées.</w:t>
      </w:r>
    </w:p>
    <w:p w14:paraId="4FE280D1" w14:textId="77777777" w:rsidR="0047490B" w:rsidRPr="003D3D43" w:rsidRDefault="0047490B" w:rsidP="003D3D43">
      <w:pPr>
        <w:keepLines w:val="0"/>
        <w:jc w:val="both"/>
        <w:rPr>
          <w:rFonts w:cs="Arial"/>
        </w:rPr>
      </w:pPr>
    </w:p>
    <w:p w14:paraId="3F74C2D8" w14:textId="77777777" w:rsidR="0047490B" w:rsidRPr="003D3D43" w:rsidRDefault="0047490B" w:rsidP="003D3D43">
      <w:pPr>
        <w:keepLines w:val="0"/>
        <w:jc w:val="both"/>
        <w:rPr>
          <w:rFonts w:cs="Arial"/>
        </w:rPr>
      </w:pPr>
      <w:r w:rsidRPr="003D3D43">
        <w:rPr>
          <w:rFonts w:cs="Arial"/>
          <w:color w:val="000000"/>
        </w:rPr>
        <w:t>Actuellement les forfaits globaux relatifs aux soins et à la dépendance sont calculés sur une base théorique d’occupation à 100% des places d’hébergement.  Le dispositif de modulation est introduit pour tenir compte de l’activité réalisée par l’établissement. </w:t>
      </w:r>
    </w:p>
    <w:p w14:paraId="7D63A80A" w14:textId="77777777" w:rsidR="0047490B" w:rsidRPr="003D3D43" w:rsidRDefault="0047490B" w:rsidP="003D3D43">
      <w:pPr>
        <w:keepLines w:val="0"/>
        <w:jc w:val="both"/>
        <w:rPr>
          <w:rFonts w:cs="Arial"/>
        </w:rPr>
      </w:pPr>
    </w:p>
    <w:p w14:paraId="73328416" w14:textId="77777777" w:rsidR="0047490B" w:rsidRPr="003D3D43" w:rsidRDefault="0047490B" w:rsidP="003D3D43">
      <w:pPr>
        <w:keepLines w:val="0"/>
        <w:jc w:val="both"/>
        <w:rPr>
          <w:rFonts w:cs="Arial"/>
          <w:color w:val="000000"/>
        </w:rPr>
      </w:pPr>
      <w:r w:rsidRPr="003D3D43">
        <w:rPr>
          <w:rFonts w:cs="Arial"/>
          <w:color w:val="000000"/>
        </w:rPr>
        <w:t>Conformément à la réglementation en vigueur, depuis l’exercice 2018, l’autorité de tarification doit appliquer un abattement sur le forfait versé en N en fonction du taux d’occupation réalisé en N-1 ou N-2 (conformément aux dispositions de l’art R314-43-2 du CASF). La modulation est appliquée si le taux d’occupation est inférieur à un seuil fixé par arrêté.</w:t>
      </w:r>
    </w:p>
    <w:p w14:paraId="740234F4" w14:textId="77777777" w:rsidR="0047490B" w:rsidRPr="003D3D43" w:rsidRDefault="0047490B" w:rsidP="003D3D43">
      <w:pPr>
        <w:jc w:val="both"/>
        <w:rPr>
          <w:rFonts w:cs="Arial"/>
        </w:rPr>
      </w:pPr>
    </w:p>
    <w:p w14:paraId="7EB10241" w14:textId="77777777" w:rsidR="00E377EE" w:rsidRDefault="00E377EE" w:rsidP="003D3D43">
      <w:pPr>
        <w:ind w:left="567"/>
        <w:jc w:val="both"/>
        <w:rPr>
          <w:rFonts w:cs="Arial"/>
        </w:rPr>
      </w:pPr>
    </w:p>
    <w:p w14:paraId="1D27D7ED" w14:textId="0BEF843E" w:rsidR="0047490B" w:rsidRPr="003D3D43" w:rsidRDefault="0047490B" w:rsidP="003D3D43">
      <w:pPr>
        <w:ind w:left="567"/>
        <w:jc w:val="both"/>
        <w:rPr>
          <w:rFonts w:cs="Arial"/>
          <w:color w:val="000000"/>
          <w:u w:val="single"/>
        </w:rPr>
      </w:pPr>
      <w:r w:rsidRPr="003D3D43">
        <w:rPr>
          <w:rFonts w:cs="Arial"/>
        </w:rPr>
        <w:br/>
        <w:t xml:space="preserve">a) </w:t>
      </w:r>
      <w:r w:rsidRPr="003D3D43">
        <w:rPr>
          <w:rFonts w:cs="Arial"/>
          <w:color w:val="000000"/>
          <w:u w:val="single"/>
        </w:rPr>
        <w:t>Calcul du taux d’occupation :</w:t>
      </w:r>
    </w:p>
    <w:p w14:paraId="1C935E44" w14:textId="77777777" w:rsidR="0047490B" w:rsidRPr="003D3D43" w:rsidRDefault="0047490B" w:rsidP="003D3D43">
      <w:pPr>
        <w:ind w:left="567"/>
        <w:jc w:val="both"/>
        <w:rPr>
          <w:rFonts w:cs="Arial"/>
          <w:sz w:val="24"/>
          <w:szCs w:val="24"/>
        </w:rPr>
      </w:pPr>
    </w:p>
    <w:p w14:paraId="5C940EE6" w14:textId="77777777" w:rsidR="0047490B" w:rsidRPr="003D3D43" w:rsidRDefault="0047490B" w:rsidP="003D3D43">
      <w:pPr>
        <w:keepLines w:val="0"/>
        <w:ind w:left="720"/>
        <w:jc w:val="both"/>
        <w:rPr>
          <w:rFonts w:cs="Arial"/>
          <w:sz w:val="24"/>
          <w:szCs w:val="24"/>
        </w:rPr>
      </w:pPr>
      <w:r w:rsidRPr="003D3D43">
        <w:rPr>
          <w:rFonts w:cs="Arial"/>
          <w:noProof/>
          <w:color w:val="000000"/>
          <w:bdr w:val="none" w:sz="0" w:space="0" w:color="auto" w:frame="1"/>
        </w:rPr>
        <w:drawing>
          <wp:inline distT="0" distB="0" distL="0" distR="0" wp14:anchorId="273557BE" wp14:editId="4473E9F7">
            <wp:extent cx="4394200" cy="389255"/>
            <wp:effectExtent l="0" t="0" r="635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94200" cy="389255"/>
                    </a:xfrm>
                    <a:prstGeom prst="rect">
                      <a:avLst/>
                    </a:prstGeom>
                    <a:noFill/>
                    <a:ln>
                      <a:noFill/>
                    </a:ln>
                  </pic:spPr>
                </pic:pic>
              </a:graphicData>
            </a:graphic>
          </wp:inline>
        </w:drawing>
      </w:r>
    </w:p>
    <w:p w14:paraId="370C703C" w14:textId="77777777" w:rsidR="0047490B" w:rsidRPr="003D3D43" w:rsidRDefault="0047490B" w:rsidP="003D3D43">
      <w:pPr>
        <w:keepLines w:val="0"/>
        <w:jc w:val="both"/>
        <w:rPr>
          <w:rFonts w:cs="Arial"/>
          <w:sz w:val="24"/>
          <w:szCs w:val="24"/>
        </w:rPr>
      </w:pPr>
    </w:p>
    <w:p w14:paraId="733A901A" w14:textId="77777777" w:rsidR="0047490B" w:rsidRPr="003D3D43" w:rsidRDefault="0047490B" w:rsidP="003D3D43">
      <w:pPr>
        <w:keepLines w:val="0"/>
        <w:jc w:val="both"/>
        <w:rPr>
          <w:rFonts w:cs="Arial"/>
          <w:sz w:val="28"/>
          <w:szCs w:val="28"/>
        </w:rPr>
      </w:pPr>
      <w:r w:rsidRPr="003D3D43">
        <w:rPr>
          <w:rFonts w:cs="Arial"/>
          <w:color w:val="000000"/>
        </w:rPr>
        <w:t>Tous les résidents en hébergement permanent sont intégrés dans le calcul (y compris ceux de -60 ans).</w:t>
      </w:r>
    </w:p>
    <w:p w14:paraId="28B71B46" w14:textId="77777777" w:rsidR="0047490B" w:rsidRPr="003D3D43" w:rsidRDefault="0047490B" w:rsidP="003D3D43">
      <w:pPr>
        <w:keepLines w:val="0"/>
        <w:jc w:val="both"/>
        <w:rPr>
          <w:rFonts w:cs="Arial"/>
          <w:color w:val="000000"/>
        </w:rPr>
      </w:pPr>
      <w:r w:rsidRPr="003D3D43">
        <w:rPr>
          <w:rFonts w:cs="Arial"/>
          <w:color w:val="000000"/>
        </w:rPr>
        <w:t>Les absences de -72 heures (pour convenance personnelle ou hospitalisation) sont comptabilisées dans les journées réalisées*.</w:t>
      </w:r>
    </w:p>
    <w:p w14:paraId="067A09CE" w14:textId="0DC30C70" w:rsidR="008C0DA3" w:rsidRPr="003D3D43" w:rsidRDefault="008C0DA3" w:rsidP="003D3D43">
      <w:pPr>
        <w:pStyle w:val="Sansinterligne"/>
        <w:jc w:val="both"/>
        <w:rPr>
          <w:rFonts w:cs="Arial"/>
        </w:rPr>
      </w:pPr>
    </w:p>
    <w:p w14:paraId="0EC0ECEC" w14:textId="67B07F9B" w:rsidR="008C0DA3" w:rsidRDefault="008C0DA3" w:rsidP="003D3D43">
      <w:pPr>
        <w:pStyle w:val="Sansinterligne"/>
        <w:jc w:val="both"/>
        <w:rPr>
          <w:rFonts w:cs="Arial"/>
        </w:rPr>
      </w:pPr>
    </w:p>
    <w:p w14:paraId="791C5138" w14:textId="77777777" w:rsidR="00E377EE" w:rsidRPr="003D3D43" w:rsidRDefault="00E377EE" w:rsidP="003D3D43">
      <w:pPr>
        <w:pStyle w:val="Sansinterligne"/>
        <w:jc w:val="both"/>
        <w:rPr>
          <w:rFonts w:cs="Arial"/>
        </w:rPr>
      </w:pPr>
    </w:p>
    <w:p w14:paraId="34548091" w14:textId="4158CB3F" w:rsidR="0047490B" w:rsidRPr="003D3D43" w:rsidRDefault="0047490B" w:rsidP="003D3D43">
      <w:pPr>
        <w:keepLines w:val="0"/>
        <w:ind w:left="567"/>
        <w:jc w:val="both"/>
        <w:rPr>
          <w:rFonts w:cs="Arial"/>
          <w:color w:val="000000"/>
          <w:u w:val="single"/>
        </w:rPr>
      </w:pPr>
      <w:r w:rsidRPr="003D3D43">
        <w:rPr>
          <w:rFonts w:cs="Arial"/>
          <w:color w:val="000000"/>
          <w:u w:val="single"/>
        </w:rPr>
        <w:t>b) Seuil de déclenchement de la modulation du forfait global soins ou dépendance</w:t>
      </w:r>
    </w:p>
    <w:p w14:paraId="28D51A5C" w14:textId="77777777" w:rsidR="0047490B" w:rsidRPr="003D3D43" w:rsidRDefault="0047490B" w:rsidP="003D3D43">
      <w:pPr>
        <w:keepLines w:val="0"/>
        <w:jc w:val="both"/>
        <w:rPr>
          <w:rFonts w:cs="Arial"/>
          <w:sz w:val="24"/>
          <w:szCs w:val="24"/>
        </w:rPr>
      </w:pPr>
    </w:p>
    <w:p w14:paraId="72A3223A" w14:textId="4E64D178" w:rsidR="00A236B4" w:rsidRDefault="0047490B" w:rsidP="003D3D43">
      <w:pPr>
        <w:keepLines w:val="0"/>
        <w:jc w:val="both"/>
        <w:rPr>
          <w:rFonts w:cs="Arial"/>
          <w:color w:val="000000"/>
        </w:rPr>
      </w:pPr>
      <w:r w:rsidRPr="003D3D43">
        <w:rPr>
          <w:rFonts w:cs="Arial"/>
          <w:color w:val="000000"/>
        </w:rPr>
        <w:t>Le seuil de déclenchement est fixé par arrêté, il prend en considération la période de convergence des établissements, d’où une montée en charge durant la période 2018-2023 et une stabilisation à partir de 2024 :</w:t>
      </w:r>
    </w:p>
    <w:p w14:paraId="0CC4D9D0" w14:textId="76E4C5A5" w:rsidR="00E377EE" w:rsidRDefault="00E377EE" w:rsidP="003D3D43">
      <w:pPr>
        <w:keepLines w:val="0"/>
        <w:jc w:val="both"/>
        <w:rPr>
          <w:rFonts w:cs="Arial"/>
          <w:color w:val="000000"/>
        </w:rPr>
      </w:pPr>
    </w:p>
    <w:p w14:paraId="417F36EA" w14:textId="486A7F1B" w:rsidR="00E377EE" w:rsidRDefault="00E377EE" w:rsidP="003D3D43">
      <w:pPr>
        <w:keepLines w:val="0"/>
        <w:jc w:val="both"/>
        <w:rPr>
          <w:rFonts w:cs="Arial"/>
          <w:color w:val="000000"/>
        </w:rPr>
      </w:pPr>
    </w:p>
    <w:p w14:paraId="389B0F51" w14:textId="2FA76E78" w:rsidR="00E377EE" w:rsidRDefault="00E377EE" w:rsidP="003D3D43">
      <w:pPr>
        <w:keepLines w:val="0"/>
        <w:jc w:val="both"/>
        <w:rPr>
          <w:rFonts w:cs="Arial"/>
          <w:color w:val="000000"/>
        </w:rPr>
      </w:pPr>
    </w:p>
    <w:p w14:paraId="4545B57B" w14:textId="1E4FF8E4" w:rsidR="00E377EE" w:rsidRDefault="00E377EE" w:rsidP="003D3D43">
      <w:pPr>
        <w:keepLines w:val="0"/>
        <w:jc w:val="both"/>
        <w:rPr>
          <w:rFonts w:cs="Arial"/>
          <w:color w:val="000000"/>
        </w:rPr>
      </w:pPr>
    </w:p>
    <w:p w14:paraId="7D0C080F" w14:textId="519E215B" w:rsidR="00E377EE" w:rsidRDefault="00E377EE" w:rsidP="003D3D43">
      <w:pPr>
        <w:keepLines w:val="0"/>
        <w:jc w:val="both"/>
        <w:rPr>
          <w:rFonts w:cs="Arial"/>
          <w:color w:val="000000"/>
        </w:rPr>
      </w:pPr>
    </w:p>
    <w:p w14:paraId="3A728E47" w14:textId="57C91B0C" w:rsidR="00E377EE" w:rsidRDefault="00E377EE" w:rsidP="003D3D43">
      <w:pPr>
        <w:keepLines w:val="0"/>
        <w:jc w:val="both"/>
        <w:rPr>
          <w:rFonts w:cs="Arial"/>
          <w:color w:val="000000"/>
        </w:rPr>
      </w:pPr>
    </w:p>
    <w:p w14:paraId="591F92B8" w14:textId="2B4C843F" w:rsidR="00E377EE" w:rsidRDefault="00E377EE" w:rsidP="003D3D43">
      <w:pPr>
        <w:keepLines w:val="0"/>
        <w:jc w:val="both"/>
        <w:rPr>
          <w:rFonts w:cs="Arial"/>
          <w:color w:val="000000"/>
        </w:rPr>
      </w:pPr>
    </w:p>
    <w:p w14:paraId="317A31D7" w14:textId="37D6CD7D" w:rsidR="00E377EE" w:rsidRDefault="00E377EE" w:rsidP="003D3D43">
      <w:pPr>
        <w:keepLines w:val="0"/>
        <w:jc w:val="both"/>
        <w:rPr>
          <w:rFonts w:cs="Arial"/>
          <w:color w:val="000000"/>
        </w:rPr>
      </w:pPr>
    </w:p>
    <w:p w14:paraId="4695F9B8" w14:textId="0299E25C" w:rsidR="00E377EE" w:rsidRDefault="00E377EE" w:rsidP="003D3D43">
      <w:pPr>
        <w:keepLines w:val="0"/>
        <w:jc w:val="both"/>
        <w:rPr>
          <w:rFonts w:cs="Arial"/>
          <w:color w:val="000000"/>
        </w:rPr>
      </w:pPr>
    </w:p>
    <w:p w14:paraId="2A9145E9" w14:textId="77777777" w:rsidR="0047490B" w:rsidRPr="003D3D43" w:rsidRDefault="0047490B" w:rsidP="003D3D43">
      <w:pPr>
        <w:keepLines w:val="0"/>
        <w:ind w:left="993" w:firstLine="709"/>
        <w:jc w:val="both"/>
        <w:textAlignment w:val="baseline"/>
        <w:rPr>
          <w:rFonts w:cs="Arial"/>
          <w:color w:val="000000"/>
          <w:u w:val="single"/>
        </w:rPr>
      </w:pPr>
      <w:r w:rsidRPr="003D3D43">
        <w:rPr>
          <w:rFonts w:cs="Arial"/>
          <w:color w:val="000000"/>
          <w:u w:val="single"/>
        </w:rPr>
        <w:lastRenderedPageBreak/>
        <w:t>1/ Période 2018-2023, trois situations :</w:t>
      </w:r>
    </w:p>
    <w:p w14:paraId="2233D530" w14:textId="77777777" w:rsidR="0047490B" w:rsidRPr="003D3D43" w:rsidRDefault="0047490B" w:rsidP="003D3D43">
      <w:pPr>
        <w:keepLines w:val="0"/>
        <w:ind w:left="993" w:firstLine="709"/>
        <w:jc w:val="both"/>
        <w:textAlignment w:val="baseline"/>
        <w:rPr>
          <w:rFonts w:cs="Arial"/>
          <w:color w:val="000000"/>
          <w:u w:val="single"/>
        </w:rPr>
      </w:pPr>
    </w:p>
    <w:p w14:paraId="3986483D" w14:textId="7D57C4A9" w:rsidR="0047490B" w:rsidRPr="003D3D43" w:rsidRDefault="0047490B" w:rsidP="003D3D43">
      <w:pPr>
        <w:keepLines w:val="0"/>
        <w:ind w:left="709"/>
        <w:jc w:val="both"/>
        <w:rPr>
          <w:rFonts w:cs="Arial"/>
          <w:sz w:val="24"/>
          <w:szCs w:val="24"/>
        </w:rPr>
      </w:pPr>
      <w:r w:rsidRPr="003D3D43">
        <w:rPr>
          <w:rFonts w:cs="Arial"/>
          <w:noProof/>
          <w:color w:val="000000"/>
          <w:bdr w:val="none" w:sz="0" w:space="0" w:color="auto" w:frame="1"/>
        </w:rPr>
        <w:drawing>
          <wp:inline distT="0" distB="0" distL="0" distR="0" wp14:anchorId="2DE38FAF" wp14:editId="152573C3">
            <wp:extent cx="3139440" cy="1788025"/>
            <wp:effectExtent l="0" t="0" r="3810" b="317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52784" cy="1795625"/>
                    </a:xfrm>
                    <a:prstGeom prst="rect">
                      <a:avLst/>
                    </a:prstGeom>
                    <a:noFill/>
                    <a:ln>
                      <a:noFill/>
                    </a:ln>
                  </pic:spPr>
                </pic:pic>
              </a:graphicData>
            </a:graphic>
          </wp:inline>
        </w:drawing>
      </w:r>
    </w:p>
    <w:p w14:paraId="2B2089EC" w14:textId="77777777" w:rsidR="00A15A2B" w:rsidRPr="003D3D43" w:rsidRDefault="00A15A2B" w:rsidP="003D3D43">
      <w:pPr>
        <w:keepLines w:val="0"/>
        <w:ind w:left="709"/>
        <w:jc w:val="both"/>
        <w:rPr>
          <w:rFonts w:cs="Arial"/>
          <w:sz w:val="24"/>
          <w:szCs w:val="24"/>
        </w:rPr>
      </w:pPr>
    </w:p>
    <w:p w14:paraId="37FC0636" w14:textId="77777777" w:rsidR="0047490B" w:rsidRPr="003D3D43" w:rsidRDefault="0047490B" w:rsidP="003D3D43">
      <w:pPr>
        <w:keepLines w:val="0"/>
        <w:ind w:left="993" w:firstLine="709"/>
        <w:jc w:val="both"/>
        <w:rPr>
          <w:rFonts w:cs="Arial"/>
          <w:color w:val="000000"/>
        </w:rPr>
      </w:pPr>
      <w:r w:rsidRPr="003D3D43">
        <w:rPr>
          <w:rFonts w:cs="Arial"/>
          <w:color w:val="000000"/>
          <w:u w:val="single"/>
        </w:rPr>
        <w:t>2/ A compter de 2024</w:t>
      </w:r>
    </w:p>
    <w:p w14:paraId="5A871F74" w14:textId="77777777" w:rsidR="0047490B" w:rsidRPr="003D3D43" w:rsidRDefault="0047490B" w:rsidP="003D3D43">
      <w:pPr>
        <w:keepLines w:val="0"/>
        <w:jc w:val="both"/>
        <w:rPr>
          <w:rFonts w:cs="Arial"/>
          <w:color w:val="000000"/>
        </w:rPr>
      </w:pPr>
    </w:p>
    <w:p w14:paraId="076D1039" w14:textId="4A604D43" w:rsidR="0047490B" w:rsidRPr="008F2E0F" w:rsidRDefault="0047490B" w:rsidP="003D3D43">
      <w:pPr>
        <w:keepLines w:val="0"/>
        <w:jc w:val="both"/>
        <w:rPr>
          <w:rFonts w:cs="Arial"/>
          <w:color w:val="000000"/>
        </w:rPr>
      </w:pPr>
      <w:r w:rsidRPr="003D3D43">
        <w:rPr>
          <w:rFonts w:cs="Arial"/>
          <w:color w:val="000000"/>
        </w:rPr>
        <w:t>Tous les établissements percevront la totalité de leurs forfaits globaux soins et dépendance, le seuil qui s’appliquera sera alors 95 %.</w:t>
      </w:r>
    </w:p>
    <w:p w14:paraId="7E140051" w14:textId="77777777" w:rsidR="0047490B" w:rsidRPr="003D3D43" w:rsidRDefault="0047490B" w:rsidP="003D3D43">
      <w:pPr>
        <w:keepLines w:val="0"/>
        <w:ind w:left="567"/>
        <w:jc w:val="both"/>
        <w:textAlignment w:val="baseline"/>
        <w:rPr>
          <w:rFonts w:cs="Arial"/>
          <w:color w:val="000000"/>
          <w:u w:val="single"/>
        </w:rPr>
      </w:pPr>
      <w:r w:rsidRPr="003D3D43">
        <w:rPr>
          <w:rFonts w:cs="Arial"/>
          <w:color w:val="000000"/>
          <w:u w:val="single"/>
        </w:rPr>
        <w:t>c) Calcul de l’abattement du forfait global soins ou dépendance</w:t>
      </w:r>
    </w:p>
    <w:p w14:paraId="605D2AAB" w14:textId="77777777" w:rsidR="0047490B" w:rsidRPr="003D3D43" w:rsidRDefault="0047490B" w:rsidP="003D3D43">
      <w:pPr>
        <w:keepLines w:val="0"/>
        <w:jc w:val="both"/>
        <w:rPr>
          <w:rFonts w:cs="Arial"/>
          <w:color w:val="000000"/>
          <w:u w:val="single"/>
        </w:rPr>
      </w:pPr>
    </w:p>
    <w:p w14:paraId="713ADD13" w14:textId="77777777" w:rsidR="0047490B" w:rsidRPr="003D3D43" w:rsidRDefault="0047490B" w:rsidP="003D3D43">
      <w:pPr>
        <w:keepLines w:val="0"/>
        <w:jc w:val="both"/>
        <w:rPr>
          <w:rFonts w:cs="Arial"/>
          <w:color w:val="000000"/>
        </w:rPr>
      </w:pPr>
      <w:r w:rsidRPr="003D3D43">
        <w:rPr>
          <w:rFonts w:cs="Arial"/>
          <w:color w:val="000000"/>
        </w:rPr>
        <w:t>Le pourcentage de l’abattement à appliquer aux forfaits est égal à la moitié de la différence entre le seuil de déclenchement de la modulation et le taux d’occupation réalisé par l’établissement. </w:t>
      </w:r>
    </w:p>
    <w:p w14:paraId="7A4024E0" w14:textId="77777777" w:rsidR="0047490B" w:rsidRPr="003D3D43" w:rsidRDefault="0047490B" w:rsidP="003D3D43">
      <w:pPr>
        <w:pStyle w:val="Sansinterligne"/>
        <w:ind w:left="720"/>
        <w:jc w:val="both"/>
        <w:rPr>
          <w:rFonts w:cs="Arial"/>
        </w:rPr>
      </w:pPr>
      <w:r w:rsidRPr="003D3D43">
        <w:rPr>
          <w:rFonts w:cs="Arial"/>
          <w:b/>
          <w:bCs/>
          <w:i/>
          <w:iCs/>
          <w:color w:val="000000"/>
          <w:sz w:val="18"/>
          <w:szCs w:val="18"/>
        </w:rPr>
        <w:t>Ex</w:t>
      </w:r>
      <w:r w:rsidRPr="003D3D43">
        <w:rPr>
          <w:rFonts w:cs="Arial"/>
          <w:i/>
          <w:iCs/>
          <w:color w:val="000000"/>
          <w:sz w:val="18"/>
          <w:szCs w:val="18"/>
        </w:rPr>
        <w:t> : Seuil de déclenchement 95% et taux d’occupation 90% soit une différence de 5%</w:t>
      </w:r>
    </w:p>
    <w:p w14:paraId="09D392B3" w14:textId="77777777" w:rsidR="0047490B" w:rsidRPr="003D3D43" w:rsidRDefault="0047490B" w:rsidP="003D3D43">
      <w:pPr>
        <w:pStyle w:val="Sansinterligne"/>
        <w:ind w:left="720"/>
        <w:jc w:val="both"/>
        <w:rPr>
          <w:rFonts w:cs="Arial"/>
        </w:rPr>
      </w:pPr>
      <w:r w:rsidRPr="003D3D43">
        <w:rPr>
          <w:rFonts w:cs="Arial"/>
          <w:i/>
          <w:iCs/>
          <w:color w:val="000000"/>
          <w:sz w:val="18"/>
          <w:szCs w:val="18"/>
        </w:rPr>
        <w:sym w:font="Wingdings" w:char="F0E8"/>
      </w:r>
      <w:r w:rsidRPr="003D3D43">
        <w:rPr>
          <w:rFonts w:cs="Arial"/>
          <w:i/>
          <w:iCs/>
          <w:color w:val="000000"/>
          <w:sz w:val="18"/>
          <w:szCs w:val="18"/>
        </w:rPr>
        <w:t xml:space="preserve">  L’abattement à appliquer au forfait est de </w:t>
      </w:r>
      <w:r w:rsidRPr="003D3D43">
        <w:rPr>
          <w:rFonts w:cs="Arial"/>
          <w:b/>
          <w:bCs/>
          <w:i/>
          <w:iCs/>
          <w:color w:val="000000"/>
          <w:sz w:val="18"/>
          <w:szCs w:val="18"/>
        </w:rPr>
        <w:t>2,5%</w:t>
      </w:r>
    </w:p>
    <w:p w14:paraId="14AF911B" w14:textId="77777777" w:rsidR="0047490B" w:rsidRPr="003D3D43" w:rsidRDefault="0047490B" w:rsidP="003D3D43">
      <w:pPr>
        <w:keepLines w:val="0"/>
        <w:jc w:val="both"/>
        <w:rPr>
          <w:rFonts w:cs="Arial"/>
          <w:sz w:val="24"/>
          <w:szCs w:val="24"/>
        </w:rPr>
      </w:pPr>
    </w:p>
    <w:p w14:paraId="2E5E7580" w14:textId="77777777" w:rsidR="0047490B" w:rsidRPr="003D3D43" w:rsidRDefault="0047490B" w:rsidP="003D3D43">
      <w:pPr>
        <w:keepLines w:val="0"/>
        <w:jc w:val="both"/>
        <w:rPr>
          <w:rFonts w:cs="Arial"/>
        </w:rPr>
      </w:pPr>
      <w:r w:rsidRPr="003D3D43">
        <w:rPr>
          <w:rFonts w:cs="Arial"/>
        </w:rPr>
        <w:t>Le cas échéant pour les autres ESMS du CPOM : Indiquer ici notamment le montant des dotations globalisées communes et les autres financements éventuels.</w:t>
      </w:r>
    </w:p>
    <w:p w14:paraId="5F3C137B" w14:textId="77777777" w:rsidR="00DC683F" w:rsidRPr="003D3D43" w:rsidRDefault="00DC683F" w:rsidP="003D3D43">
      <w:pPr>
        <w:pStyle w:val="Sansinterligne"/>
        <w:jc w:val="both"/>
        <w:rPr>
          <w:rFonts w:cs="Arial"/>
        </w:rPr>
      </w:pPr>
    </w:p>
    <w:p w14:paraId="6783D762" w14:textId="6A6F2006" w:rsidR="00943A7A" w:rsidRPr="003D3D43" w:rsidRDefault="00000789" w:rsidP="003D3D43">
      <w:pPr>
        <w:jc w:val="both"/>
        <w:rPr>
          <w:rFonts w:eastAsia="Arial" w:cs="Arial"/>
          <w:b/>
          <w:bCs/>
          <w:color w:val="0070C0"/>
        </w:rPr>
      </w:pPr>
      <w:r w:rsidRPr="003D3D43">
        <w:rPr>
          <w:rFonts w:eastAsia="Arial" w:cs="Arial"/>
          <w:b/>
          <w:bCs/>
          <w:color w:val="0070C0"/>
        </w:rPr>
        <w:t>4.</w:t>
      </w:r>
      <w:r w:rsidR="00676BA1" w:rsidRPr="003D3D43">
        <w:rPr>
          <w:rFonts w:eastAsia="Arial" w:cs="Arial"/>
          <w:b/>
          <w:bCs/>
          <w:color w:val="0070C0"/>
        </w:rPr>
        <w:t>3</w:t>
      </w:r>
      <w:r w:rsidRPr="003D3D43">
        <w:rPr>
          <w:rFonts w:eastAsia="Arial" w:cs="Arial"/>
          <w:b/>
          <w:bCs/>
          <w:color w:val="0070C0"/>
        </w:rPr>
        <w:t xml:space="preserve">- </w:t>
      </w:r>
      <w:r w:rsidR="00943A7A" w:rsidRPr="003D3D43">
        <w:rPr>
          <w:rFonts w:eastAsia="Arial" w:cs="Arial"/>
          <w:b/>
          <w:bCs/>
          <w:color w:val="0070C0"/>
        </w:rPr>
        <w:t>Les modalités d’affectation des résultats pour les établissements et services du CPOM</w:t>
      </w:r>
    </w:p>
    <w:p w14:paraId="47EAB620" w14:textId="77777777" w:rsidR="00943A7A" w:rsidRPr="003D3D43" w:rsidRDefault="00943A7A" w:rsidP="003D3D43">
      <w:pPr>
        <w:autoSpaceDE w:val="0"/>
        <w:autoSpaceDN w:val="0"/>
        <w:adjustRightInd w:val="0"/>
        <w:ind w:right="-333"/>
        <w:jc w:val="both"/>
        <w:rPr>
          <w:rFonts w:eastAsia="Arial" w:cs="Arial"/>
          <w:bCs/>
          <w:color w:val="1F3763" w:themeColor="accent1" w:themeShade="7F"/>
        </w:rPr>
      </w:pPr>
    </w:p>
    <w:p w14:paraId="2752E1E0" w14:textId="77777777" w:rsidR="00424EB5" w:rsidRPr="003D3D43" w:rsidRDefault="00424EB5" w:rsidP="003D3D43">
      <w:pPr>
        <w:jc w:val="both"/>
        <w:rPr>
          <w:rFonts w:cs="Arial"/>
        </w:rPr>
      </w:pPr>
      <w:r w:rsidRPr="003D3D43">
        <w:rPr>
          <w:rFonts w:cs="Arial"/>
        </w:rPr>
        <w:t xml:space="preserve">Conformément à la réglementation, le CPOM fixe les modalités d’affectation des résultats en lien avec ses objectifs </w:t>
      </w:r>
      <w:r w:rsidRPr="003D3D43">
        <w:rPr>
          <w:rFonts w:cs="Arial"/>
          <w:color w:val="000000"/>
        </w:rPr>
        <w:t>(conformément à l’article R 314-235 du CASF), avec la situation financière de l’organisme gestionnaire et en lien avec ses projets sous réserve des dispositions réglementaires. </w:t>
      </w:r>
      <w:r w:rsidRPr="003D3D43">
        <w:rPr>
          <w:rFonts w:cs="Arial"/>
        </w:rPr>
        <w:t xml:space="preserve"> </w:t>
      </w:r>
    </w:p>
    <w:p w14:paraId="31B01183" w14:textId="77777777" w:rsidR="00424EB5" w:rsidRPr="003D3D43" w:rsidRDefault="00424EB5" w:rsidP="003D3D43">
      <w:pPr>
        <w:jc w:val="both"/>
        <w:rPr>
          <w:rFonts w:cs="Arial"/>
        </w:rPr>
      </w:pPr>
    </w:p>
    <w:p w14:paraId="4A9C9ED6" w14:textId="77777777" w:rsidR="00424EB5" w:rsidRPr="003D3D43" w:rsidRDefault="00424EB5" w:rsidP="003D3D43">
      <w:pPr>
        <w:keepLines w:val="0"/>
        <w:ind w:right="-333"/>
        <w:jc w:val="both"/>
        <w:rPr>
          <w:rFonts w:cs="Arial"/>
          <w:sz w:val="24"/>
          <w:szCs w:val="24"/>
        </w:rPr>
      </w:pPr>
      <w:r w:rsidRPr="003D3D43">
        <w:rPr>
          <w:rFonts w:cs="Arial"/>
          <w:color w:val="000000"/>
        </w:rPr>
        <w:t>Le gestionnaire est libre d’affecter les résultats sous réserve du respect des engagements pris dans le CPOM.</w:t>
      </w:r>
    </w:p>
    <w:p w14:paraId="7586662F" w14:textId="77777777" w:rsidR="00424EB5" w:rsidRPr="003D3D43" w:rsidRDefault="00424EB5" w:rsidP="003D3D43">
      <w:pPr>
        <w:keepLines w:val="0"/>
        <w:jc w:val="both"/>
        <w:rPr>
          <w:rFonts w:cs="Arial"/>
          <w:sz w:val="24"/>
          <w:szCs w:val="24"/>
        </w:rPr>
      </w:pPr>
    </w:p>
    <w:p w14:paraId="400B0F3D" w14:textId="77777777" w:rsidR="00424EB5" w:rsidRPr="003D3D43" w:rsidRDefault="00424EB5" w:rsidP="003D3D43">
      <w:pPr>
        <w:keepLines w:val="0"/>
        <w:ind w:right="-333"/>
        <w:jc w:val="both"/>
        <w:rPr>
          <w:rFonts w:cs="Arial"/>
          <w:sz w:val="24"/>
          <w:szCs w:val="24"/>
        </w:rPr>
      </w:pPr>
      <w:r w:rsidRPr="003D3D43">
        <w:rPr>
          <w:rFonts w:cs="Arial"/>
        </w:rPr>
        <w:t>Le gestionnaire s’engage à rechercher le meilleur rapport qualité/coût des différentes prestations dont il a la charge et d’effectuer les démarches nécessaires pour regrouper et/ou mutualiser autant que faire se peut les moyens et les achats.</w:t>
      </w:r>
    </w:p>
    <w:p w14:paraId="03545BE0" w14:textId="77777777" w:rsidR="00424EB5" w:rsidRPr="003D3D43" w:rsidRDefault="00424EB5" w:rsidP="003D3D43">
      <w:pPr>
        <w:keepLines w:val="0"/>
        <w:jc w:val="both"/>
        <w:rPr>
          <w:rFonts w:cs="Arial"/>
          <w:sz w:val="24"/>
          <w:szCs w:val="24"/>
        </w:rPr>
      </w:pPr>
    </w:p>
    <w:p w14:paraId="56554324" w14:textId="77777777" w:rsidR="00424EB5" w:rsidRPr="003D3D43" w:rsidRDefault="00424EB5" w:rsidP="003D3D43">
      <w:pPr>
        <w:keepLines w:val="0"/>
        <w:jc w:val="both"/>
        <w:rPr>
          <w:rFonts w:cs="Arial"/>
          <w:sz w:val="24"/>
          <w:szCs w:val="24"/>
        </w:rPr>
      </w:pPr>
      <w:r w:rsidRPr="003D3D43">
        <w:rPr>
          <w:rFonts w:cs="Arial"/>
          <w:color w:val="000000"/>
        </w:rPr>
        <w:t>Le gestionnaire justifiera de façon précise et chiffrée de l’utilisation de ces crédits dans le rapport d’activité (article R 314-49 du CASF), ainsi que les modalités d’affectation qu’il aura retenues pour le résultat à affecter de l’année.</w:t>
      </w:r>
    </w:p>
    <w:p w14:paraId="39F49109" w14:textId="77777777" w:rsidR="00943A7A" w:rsidRPr="003D3D43" w:rsidRDefault="00943A7A" w:rsidP="003D3D43">
      <w:pPr>
        <w:pStyle w:val="Default"/>
        <w:jc w:val="both"/>
        <w:rPr>
          <w:sz w:val="20"/>
          <w:szCs w:val="20"/>
        </w:rPr>
      </w:pPr>
    </w:p>
    <w:p w14:paraId="766CDB9C" w14:textId="5FE87600" w:rsidR="00943A7A" w:rsidRPr="003D3D43" w:rsidRDefault="00943A7A" w:rsidP="003D3D43">
      <w:pPr>
        <w:pStyle w:val="Default"/>
        <w:jc w:val="both"/>
        <w:rPr>
          <w:sz w:val="20"/>
          <w:szCs w:val="20"/>
        </w:rPr>
      </w:pPr>
      <w:r w:rsidRPr="003D3D43">
        <w:rPr>
          <w:sz w:val="20"/>
          <w:szCs w:val="20"/>
        </w:rPr>
        <w:t xml:space="preserve">Ainsi par ordre de priorité, l’organisme gestionnaire devra affecter les résultats excédentaires : </w:t>
      </w:r>
    </w:p>
    <w:p w14:paraId="46B995EB" w14:textId="2B3791FC" w:rsidR="00386D90" w:rsidRPr="003D3D43" w:rsidRDefault="00386D90" w:rsidP="00A33994">
      <w:pPr>
        <w:keepLines w:val="0"/>
        <w:numPr>
          <w:ilvl w:val="0"/>
          <w:numId w:val="21"/>
        </w:numPr>
        <w:spacing w:after="13"/>
        <w:ind w:left="851"/>
        <w:jc w:val="both"/>
        <w:rPr>
          <w:rFonts w:eastAsia="Noto Sans Symbols" w:cs="Arial"/>
          <w:color w:val="000000"/>
        </w:rPr>
      </w:pPr>
      <w:bookmarkStart w:id="19" w:name="_Hlk67494886"/>
      <w:r w:rsidRPr="003D3D43">
        <w:rPr>
          <w:rFonts w:cs="Arial"/>
          <w:color w:val="000000"/>
        </w:rPr>
        <w:t>A l’apurement des déficits antérieurs du compte de résultat ; </w:t>
      </w:r>
    </w:p>
    <w:p w14:paraId="58B9203A" w14:textId="21E53BE0" w:rsidR="00386D90" w:rsidRPr="003D3D43" w:rsidRDefault="00386D90" w:rsidP="00A33994">
      <w:pPr>
        <w:keepLines w:val="0"/>
        <w:numPr>
          <w:ilvl w:val="0"/>
          <w:numId w:val="21"/>
        </w:numPr>
        <w:spacing w:after="13"/>
        <w:ind w:left="851"/>
        <w:jc w:val="both"/>
        <w:rPr>
          <w:rFonts w:eastAsia="Noto Sans Symbols" w:cs="Arial"/>
          <w:color w:val="000000"/>
        </w:rPr>
      </w:pPr>
      <w:r w:rsidRPr="003D3D43">
        <w:rPr>
          <w:rFonts w:cs="Arial"/>
          <w:color w:val="000000"/>
        </w:rPr>
        <w:t>A un compte de report à nouveau ; </w:t>
      </w:r>
    </w:p>
    <w:p w14:paraId="51163254" w14:textId="3864DAF2" w:rsidR="00386D90" w:rsidRPr="003D3D43" w:rsidRDefault="00386D90" w:rsidP="00A33994">
      <w:pPr>
        <w:keepLines w:val="0"/>
        <w:numPr>
          <w:ilvl w:val="0"/>
          <w:numId w:val="21"/>
        </w:numPr>
        <w:spacing w:after="13"/>
        <w:ind w:left="851"/>
        <w:jc w:val="both"/>
        <w:rPr>
          <w:rFonts w:eastAsia="Noto Sans Symbols" w:cs="Arial"/>
          <w:color w:val="000000"/>
        </w:rPr>
      </w:pPr>
      <w:r w:rsidRPr="003D3D43">
        <w:rPr>
          <w:rFonts w:cs="Arial"/>
          <w:color w:val="000000"/>
        </w:rPr>
        <w:t>A un compte de réserve de compensation (la réserve de compensation ne devra pas dépasser 10% des recettes) ; </w:t>
      </w:r>
    </w:p>
    <w:p w14:paraId="5B959183" w14:textId="651CE692" w:rsidR="00386D90" w:rsidRPr="003D3D43" w:rsidRDefault="00386D90" w:rsidP="00A33994">
      <w:pPr>
        <w:keepLines w:val="0"/>
        <w:numPr>
          <w:ilvl w:val="0"/>
          <w:numId w:val="21"/>
        </w:numPr>
        <w:spacing w:after="13"/>
        <w:ind w:left="851"/>
        <w:jc w:val="both"/>
        <w:rPr>
          <w:rFonts w:eastAsia="Noto Sans Symbols" w:cs="Arial"/>
          <w:color w:val="000000"/>
        </w:rPr>
      </w:pPr>
      <w:r w:rsidRPr="003D3D43">
        <w:rPr>
          <w:rFonts w:cs="Arial"/>
          <w:color w:val="000000"/>
        </w:rPr>
        <w:t>A un compte d’excédent affecté à la compensation des charges d’amortissement des équipements, agencements et installations de mise aux normes de sécurité ; </w:t>
      </w:r>
    </w:p>
    <w:p w14:paraId="13FC35FE" w14:textId="222391F8" w:rsidR="00386D90" w:rsidRPr="003D3D43" w:rsidRDefault="00386D90" w:rsidP="00A33994">
      <w:pPr>
        <w:keepLines w:val="0"/>
        <w:numPr>
          <w:ilvl w:val="0"/>
          <w:numId w:val="21"/>
        </w:numPr>
        <w:spacing w:after="13"/>
        <w:ind w:left="851"/>
        <w:jc w:val="both"/>
        <w:rPr>
          <w:rFonts w:eastAsia="Noto Sans Symbols" w:cs="Arial"/>
          <w:color w:val="000000"/>
        </w:rPr>
      </w:pPr>
      <w:r w:rsidRPr="003D3D43">
        <w:rPr>
          <w:rFonts w:cs="Arial"/>
          <w:color w:val="000000"/>
        </w:rPr>
        <w:t>Au financement de mesures d’investissement sous réserve de la production et la validation d’un PPI (</w:t>
      </w:r>
      <w:r w:rsidRPr="003D3D43">
        <w:rPr>
          <w:rFonts w:cs="Arial"/>
          <w:b/>
          <w:bCs/>
          <w:color w:val="000000"/>
        </w:rPr>
        <w:t xml:space="preserve">annexe </w:t>
      </w:r>
      <w:r w:rsidR="00C24BDF" w:rsidRPr="003D3D43">
        <w:rPr>
          <w:rFonts w:cs="Arial"/>
          <w:b/>
          <w:bCs/>
          <w:color w:val="000000"/>
        </w:rPr>
        <w:t>5</w:t>
      </w:r>
      <w:r w:rsidRPr="003D3D43">
        <w:rPr>
          <w:rFonts w:cs="Arial"/>
          <w:color w:val="000000"/>
        </w:rPr>
        <w:t>) ;</w:t>
      </w:r>
    </w:p>
    <w:p w14:paraId="4DB01E39" w14:textId="77777777" w:rsidR="00386D90" w:rsidRPr="003D3D43" w:rsidRDefault="00386D90" w:rsidP="00A33994">
      <w:pPr>
        <w:keepLines w:val="0"/>
        <w:numPr>
          <w:ilvl w:val="0"/>
          <w:numId w:val="21"/>
        </w:numPr>
        <w:ind w:left="851"/>
        <w:jc w:val="both"/>
        <w:rPr>
          <w:rFonts w:eastAsia="Noto Sans Symbols" w:cs="Arial"/>
          <w:color w:val="000000"/>
        </w:rPr>
      </w:pPr>
      <w:r w:rsidRPr="003D3D43">
        <w:rPr>
          <w:rFonts w:cs="Arial"/>
          <w:color w:val="000000"/>
        </w:rPr>
        <w:t>A un compte de réserve de trésorerie dans la limite de la couverture du besoin en fonds de roulement. </w:t>
      </w:r>
    </w:p>
    <w:bookmarkEnd w:id="19"/>
    <w:p w14:paraId="1B6D9C06" w14:textId="77777777" w:rsidR="00943A7A" w:rsidRPr="003D3D43" w:rsidRDefault="00943A7A" w:rsidP="003D3D43">
      <w:pPr>
        <w:autoSpaceDE w:val="0"/>
        <w:autoSpaceDN w:val="0"/>
        <w:adjustRightInd w:val="0"/>
        <w:jc w:val="both"/>
        <w:rPr>
          <w:rFonts w:eastAsiaTheme="minorHAnsi" w:cs="Arial"/>
        </w:rPr>
      </w:pPr>
    </w:p>
    <w:p w14:paraId="57074AAD" w14:textId="77777777" w:rsidR="00943A7A" w:rsidRPr="003D3D43" w:rsidRDefault="00943A7A" w:rsidP="003D3D43">
      <w:pPr>
        <w:autoSpaceDE w:val="0"/>
        <w:autoSpaceDN w:val="0"/>
        <w:adjustRightInd w:val="0"/>
        <w:jc w:val="both"/>
        <w:rPr>
          <w:rFonts w:cs="Arial"/>
          <w:iCs/>
          <w:sz w:val="24"/>
          <w:szCs w:val="24"/>
        </w:rPr>
      </w:pPr>
      <w:r w:rsidRPr="003D3D43">
        <w:rPr>
          <w:rFonts w:cs="Arial"/>
          <w:iCs/>
          <w:szCs w:val="24"/>
        </w:rPr>
        <w:t>En cas de déficit, ce rapport devra préciser les mesures qui ont été mises en œuvre pour parvenir à un équilibre budgétaire et les raisons pour lesquelles celui-ci n’a pas été atteint</w:t>
      </w:r>
      <w:r w:rsidRPr="003D3D43">
        <w:rPr>
          <w:rFonts w:cs="Arial"/>
          <w:iCs/>
          <w:sz w:val="24"/>
          <w:szCs w:val="24"/>
        </w:rPr>
        <w:t>.</w:t>
      </w:r>
    </w:p>
    <w:p w14:paraId="4DC8A70A" w14:textId="77777777" w:rsidR="00943A7A" w:rsidRPr="003D3D43" w:rsidRDefault="00943A7A" w:rsidP="003D3D43">
      <w:pPr>
        <w:pStyle w:val="Default"/>
        <w:jc w:val="both"/>
        <w:rPr>
          <w:sz w:val="20"/>
          <w:szCs w:val="20"/>
        </w:rPr>
      </w:pPr>
      <w:r w:rsidRPr="003D3D43">
        <w:rPr>
          <w:sz w:val="20"/>
          <w:szCs w:val="20"/>
        </w:rPr>
        <w:lastRenderedPageBreak/>
        <w:t xml:space="preserve">La couverture des déficits reste de la responsabilité de l’organisme gestionnaire. Conformément à l’article R 314-234 du CASF, le déficit est couvert par : </w:t>
      </w:r>
    </w:p>
    <w:p w14:paraId="25BCFC75" w14:textId="0F0B8661" w:rsidR="00943A7A" w:rsidRPr="003D3D43" w:rsidRDefault="00303688" w:rsidP="00A33994">
      <w:pPr>
        <w:pStyle w:val="Default"/>
        <w:numPr>
          <w:ilvl w:val="1"/>
          <w:numId w:val="1"/>
        </w:numPr>
        <w:spacing w:after="13"/>
        <w:jc w:val="both"/>
        <w:rPr>
          <w:sz w:val="20"/>
          <w:szCs w:val="20"/>
        </w:rPr>
      </w:pPr>
      <w:r w:rsidRPr="003D3D43">
        <w:rPr>
          <w:sz w:val="20"/>
          <w:szCs w:val="20"/>
        </w:rPr>
        <w:t>Le</w:t>
      </w:r>
      <w:r w:rsidR="00943A7A" w:rsidRPr="003D3D43">
        <w:rPr>
          <w:sz w:val="20"/>
          <w:szCs w:val="20"/>
        </w:rPr>
        <w:t xml:space="preserve"> compte de report à nouveau excédentaire de ce compte de résultat ; </w:t>
      </w:r>
    </w:p>
    <w:p w14:paraId="5E2DD577" w14:textId="498AD030" w:rsidR="00943A7A" w:rsidRPr="003D3D43" w:rsidRDefault="00303688" w:rsidP="00A33994">
      <w:pPr>
        <w:pStyle w:val="Default"/>
        <w:numPr>
          <w:ilvl w:val="1"/>
          <w:numId w:val="1"/>
        </w:numPr>
        <w:spacing w:after="13"/>
        <w:jc w:val="both"/>
        <w:rPr>
          <w:sz w:val="20"/>
          <w:szCs w:val="20"/>
        </w:rPr>
      </w:pPr>
      <w:r w:rsidRPr="003D3D43">
        <w:rPr>
          <w:sz w:val="20"/>
          <w:szCs w:val="20"/>
        </w:rPr>
        <w:t>La</w:t>
      </w:r>
      <w:r w:rsidR="00943A7A" w:rsidRPr="003D3D43">
        <w:rPr>
          <w:sz w:val="20"/>
          <w:szCs w:val="20"/>
        </w:rPr>
        <w:t xml:space="preserve"> reprise de la réserve de compensation de ce compte de résultat ; </w:t>
      </w:r>
    </w:p>
    <w:p w14:paraId="1F632294" w14:textId="6AD67B57" w:rsidR="00943A7A" w:rsidRPr="003D3D43" w:rsidRDefault="00943A7A" w:rsidP="00A33994">
      <w:pPr>
        <w:pStyle w:val="Default"/>
        <w:numPr>
          <w:ilvl w:val="1"/>
          <w:numId w:val="1"/>
        </w:numPr>
        <w:jc w:val="both"/>
        <w:rPr>
          <w:sz w:val="20"/>
          <w:szCs w:val="20"/>
        </w:rPr>
      </w:pPr>
      <w:r w:rsidRPr="003D3D43">
        <w:rPr>
          <w:sz w:val="20"/>
          <w:szCs w:val="20"/>
        </w:rPr>
        <w:t xml:space="preserve">Pour le surplus éventuel, affecté à un compte de report à nouveau déficitaire de ce compte de résultat </w:t>
      </w:r>
    </w:p>
    <w:p w14:paraId="414695BE" w14:textId="77777777" w:rsidR="00CB542F" w:rsidRPr="003D3D43" w:rsidRDefault="00CB542F" w:rsidP="003D3D43">
      <w:pPr>
        <w:pStyle w:val="Default"/>
        <w:ind w:left="1440"/>
        <w:jc w:val="both"/>
        <w:rPr>
          <w:sz w:val="20"/>
          <w:szCs w:val="20"/>
        </w:rPr>
      </w:pPr>
    </w:p>
    <w:p w14:paraId="5309414E" w14:textId="4A515AA4" w:rsidR="00386D90" w:rsidRPr="003D3D43" w:rsidRDefault="00386D90" w:rsidP="003D3D43">
      <w:pPr>
        <w:keepLines w:val="0"/>
        <w:spacing w:after="120"/>
        <w:jc w:val="both"/>
        <w:rPr>
          <w:rFonts w:cs="Arial"/>
          <w:sz w:val="24"/>
          <w:szCs w:val="24"/>
        </w:rPr>
      </w:pPr>
      <w:r w:rsidRPr="003D3D43">
        <w:rPr>
          <w:rFonts w:cs="Arial"/>
        </w:rPr>
        <w:t>En ce qui concerne la section hébergement et dépendance</w:t>
      </w:r>
      <w:r w:rsidR="00CB542F" w:rsidRPr="003D3D43">
        <w:rPr>
          <w:rFonts w:cs="Arial"/>
        </w:rPr>
        <w:t>,</w:t>
      </w:r>
      <w:r w:rsidRPr="003D3D43">
        <w:rPr>
          <w:rFonts w:cs="Arial"/>
        </w:rPr>
        <w:t xml:space="preserve"> une fois les déficits antérieurs apurés et dès lors qu’un projet d’investissement est envisagé, le gestionnaire veillera à affecter ses excédents prioritairement à la réserve de compensation des charges d’amortissement, de manière à atténuer voire compenser le surcoût correspondant sur le prix de journée, tel que déterminé conformément au dispositif prévu au paragraphe 4.1.</w:t>
      </w:r>
    </w:p>
    <w:p w14:paraId="251B3710" w14:textId="77777777" w:rsidR="00386D90" w:rsidRPr="003D3D43" w:rsidRDefault="00386D90" w:rsidP="003D3D43">
      <w:pPr>
        <w:keepLines w:val="0"/>
        <w:spacing w:after="120"/>
        <w:jc w:val="both"/>
        <w:rPr>
          <w:rFonts w:cs="Arial"/>
          <w:sz w:val="24"/>
          <w:szCs w:val="24"/>
        </w:rPr>
      </w:pPr>
      <w:r w:rsidRPr="003D3D43">
        <w:rPr>
          <w:rFonts w:cs="Arial"/>
        </w:rPr>
        <w:t>De même, et dans un souci d’optimisation du prix de journée, le gestionnaire veillera, par ses affectations de résultat à anticiper des charges futures (indemnités de départ à la retraite)</w:t>
      </w:r>
    </w:p>
    <w:p w14:paraId="201C1F9B" w14:textId="77777777" w:rsidR="00386D90" w:rsidRPr="003D3D43" w:rsidRDefault="00386D90" w:rsidP="003D3D43">
      <w:pPr>
        <w:keepLines w:val="0"/>
        <w:jc w:val="both"/>
        <w:rPr>
          <w:rFonts w:cs="Arial"/>
          <w:sz w:val="24"/>
          <w:szCs w:val="24"/>
        </w:rPr>
      </w:pPr>
      <w:r w:rsidRPr="003D3D43">
        <w:rPr>
          <w:rFonts w:cs="Arial"/>
          <w:color w:val="000000"/>
        </w:rPr>
        <w:t>Les déficits ne sont pas repris, néanmoins, compte tenu d’une situation exceptionnelle, le comité de suivi peut décider de reprendre le déficit.</w:t>
      </w:r>
    </w:p>
    <w:p w14:paraId="71F53906" w14:textId="77777777" w:rsidR="00386D90" w:rsidRPr="003D3D43" w:rsidRDefault="00386D90" w:rsidP="003D3D43">
      <w:pPr>
        <w:keepLines w:val="0"/>
        <w:jc w:val="both"/>
        <w:rPr>
          <w:rFonts w:cs="Arial"/>
          <w:sz w:val="16"/>
          <w:szCs w:val="16"/>
        </w:rPr>
      </w:pPr>
    </w:p>
    <w:p w14:paraId="67999277" w14:textId="77777777" w:rsidR="00386D90" w:rsidRPr="003D3D43" w:rsidRDefault="00386D90" w:rsidP="003D3D43">
      <w:pPr>
        <w:keepLines w:val="0"/>
        <w:jc w:val="both"/>
        <w:rPr>
          <w:rFonts w:cs="Arial"/>
          <w:sz w:val="24"/>
          <w:szCs w:val="24"/>
        </w:rPr>
      </w:pPr>
      <w:r w:rsidRPr="003D3D43">
        <w:rPr>
          <w:rFonts w:cs="Arial"/>
          <w:color w:val="000000"/>
        </w:rPr>
        <w:t>Les autorités de tarification conservent la possibilité de réformer le résultat si elles constatent des dépenses :</w:t>
      </w:r>
    </w:p>
    <w:p w14:paraId="0994BFAB" w14:textId="78D2339C" w:rsidR="00386D90" w:rsidRPr="003D3D43" w:rsidRDefault="00386D90" w:rsidP="00A33994">
      <w:pPr>
        <w:pStyle w:val="Paragraphedeliste"/>
        <w:keepLines w:val="0"/>
        <w:numPr>
          <w:ilvl w:val="0"/>
          <w:numId w:val="22"/>
        </w:numPr>
        <w:jc w:val="both"/>
        <w:rPr>
          <w:rFonts w:cs="Arial"/>
          <w:sz w:val="24"/>
          <w:szCs w:val="24"/>
        </w:rPr>
      </w:pPr>
      <w:r w:rsidRPr="003D3D43">
        <w:rPr>
          <w:rFonts w:cs="Arial"/>
          <w:color w:val="000000"/>
        </w:rPr>
        <w:t>Etrangères de par leur nature au périmètre relevant de l’assurance maladie ; </w:t>
      </w:r>
    </w:p>
    <w:p w14:paraId="2A89ADD5" w14:textId="77777777" w:rsidR="00386D90" w:rsidRPr="003D3D43" w:rsidRDefault="00386D90" w:rsidP="00A33994">
      <w:pPr>
        <w:pStyle w:val="Paragraphedeliste"/>
        <w:keepLines w:val="0"/>
        <w:numPr>
          <w:ilvl w:val="0"/>
          <w:numId w:val="22"/>
        </w:numPr>
        <w:jc w:val="both"/>
        <w:rPr>
          <w:rFonts w:cs="Arial"/>
          <w:sz w:val="24"/>
          <w:szCs w:val="24"/>
        </w:rPr>
      </w:pPr>
      <w:r w:rsidRPr="003D3D43">
        <w:rPr>
          <w:rFonts w:cs="Arial"/>
          <w:color w:val="000000"/>
        </w:rPr>
        <w:t>Trop importantes au regard des nécessités de gestion normale de l’établissement.</w:t>
      </w:r>
    </w:p>
    <w:p w14:paraId="7EDE8C62" w14:textId="77777777" w:rsidR="00386D90" w:rsidRPr="003D3D43" w:rsidRDefault="00386D90" w:rsidP="003D3D43">
      <w:pPr>
        <w:keepLines w:val="0"/>
        <w:jc w:val="both"/>
        <w:rPr>
          <w:rFonts w:cs="Arial"/>
          <w:sz w:val="14"/>
          <w:szCs w:val="14"/>
        </w:rPr>
      </w:pPr>
    </w:p>
    <w:p w14:paraId="6BBFACDD" w14:textId="2AE8DBA6" w:rsidR="00386D90" w:rsidRPr="003D3D43" w:rsidRDefault="00386D90" w:rsidP="003D3D43">
      <w:pPr>
        <w:keepLines w:val="0"/>
        <w:jc w:val="both"/>
        <w:rPr>
          <w:rFonts w:cs="Arial"/>
          <w:sz w:val="24"/>
          <w:szCs w:val="24"/>
        </w:rPr>
      </w:pPr>
      <w:r w:rsidRPr="003D3D43">
        <w:rPr>
          <w:rFonts w:cs="Arial"/>
          <w:color w:val="000000"/>
        </w:rPr>
        <w:t>Il est notamment possible de demander le reversement de certains montants dès lors que l’autorité de tarification constate des dépenses manifestement hors de proportion avec le service rendu ou avec les coûts des ESMS fournissant des prestations comparables en termes de qualité de prises en charge ou d’accompagnement ou des recettes non comptabilisées. (Art R 314-234 et suivants ; R 314-244). </w:t>
      </w:r>
    </w:p>
    <w:p w14:paraId="4A7467F0" w14:textId="6EC4465D" w:rsidR="00C3026C" w:rsidRPr="003D3D43" w:rsidRDefault="00C3026C" w:rsidP="003D3D43">
      <w:pPr>
        <w:pStyle w:val="Default"/>
        <w:jc w:val="both"/>
        <w:rPr>
          <w:sz w:val="20"/>
          <w:szCs w:val="20"/>
        </w:rPr>
      </w:pPr>
    </w:p>
    <w:p w14:paraId="63D01BCB" w14:textId="12305820" w:rsidR="00C3026C" w:rsidRPr="003D3D43" w:rsidRDefault="00954C45" w:rsidP="003D3D43">
      <w:pPr>
        <w:jc w:val="both"/>
        <w:rPr>
          <w:rFonts w:eastAsia="Arial" w:cs="Arial"/>
          <w:b/>
          <w:bCs/>
          <w:color w:val="0070C0"/>
        </w:rPr>
      </w:pPr>
      <w:bookmarkStart w:id="20" w:name="_Hlk67314818"/>
      <w:r w:rsidRPr="003D3D43">
        <w:rPr>
          <w:rFonts w:eastAsia="Arial" w:cs="Arial"/>
          <w:b/>
          <w:bCs/>
          <w:color w:val="0070C0"/>
        </w:rPr>
        <w:t>4.</w:t>
      </w:r>
      <w:r w:rsidR="00676BA1" w:rsidRPr="003D3D43">
        <w:rPr>
          <w:rFonts w:eastAsia="Arial" w:cs="Arial"/>
          <w:b/>
          <w:bCs/>
          <w:color w:val="0070C0"/>
        </w:rPr>
        <w:t>4</w:t>
      </w:r>
      <w:r w:rsidRPr="003D3D43">
        <w:rPr>
          <w:rFonts w:eastAsia="Arial" w:cs="Arial"/>
          <w:b/>
          <w:bCs/>
          <w:color w:val="0070C0"/>
        </w:rPr>
        <w:t xml:space="preserve">- </w:t>
      </w:r>
      <w:r w:rsidR="00C3026C" w:rsidRPr="003D3D43">
        <w:rPr>
          <w:rFonts w:eastAsia="Arial" w:cs="Arial"/>
          <w:b/>
          <w:bCs/>
          <w:color w:val="0070C0"/>
        </w:rPr>
        <w:t>Equilibre financier et plan de retour à l’équilibre si nécessaire</w:t>
      </w:r>
    </w:p>
    <w:p w14:paraId="1D10DB4D" w14:textId="77777777" w:rsidR="00085BC8" w:rsidRPr="003D3D43" w:rsidRDefault="00085BC8" w:rsidP="003D3D43">
      <w:pPr>
        <w:jc w:val="both"/>
        <w:rPr>
          <w:rFonts w:eastAsia="Arial" w:cs="Arial"/>
          <w:b/>
          <w:bCs/>
          <w:color w:val="0070C0"/>
        </w:rPr>
      </w:pPr>
    </w:p>
    <w:p w14:paraId="72D5940D" w14:textId="77777777" w:rsidR="00CE353E" w:rsidRPr="003D3D43" w:rsidRDefault="00C3026C" w:rsidP="003D3D43">
      <w:pPr>
        <w:pStyle w:val="Sansinterligne"/>
        <w:jc w:val="both"/>
        <w:rPr>
          <w:rFonts w:eastAsia="Calibri" w:cs="Arial"/>
        </w:rPr>
      </w:pPr>
      <w:bookmarkStart w:id="21" w:name="_Hlk67400528"/>
      <w:bookmarkStart w:id="22" w:name="_Hlk67495089"/>
      <w:r w:rsidRPr="003D3D43">
        <w:rPr>
          <w:rFonts w:eastAsia="Calibri" w:cs="Arial"/>
        </w:rPr>
        <w:t xml:space="preserve">Le diagnostic financier présenté par le gestionnaire sera partagé dans le cadre de l’ERRD. </w:t>
      </w:r>
    </w:p>
    <w:p w14:paraId="41C71A34" w14:textId="1365FFE7" w:rsidR="00C3026C" w:rsidRPr="003D3D43" w:rsidRDefault="00CE353E" w:rsidP="003D3D43">
      <w:pPr>
        <w:pStyle w:val="Sansinterligne"/>
        <w:jc w:val="both"/>
        <w:rPr>
          <w:rFonts w:eastAsia="Calibri" w:cs="Arial"/>
        </w:rPr>
      </w:pPr>
      <w:r w:rsidRPr="003D3D43">
        <w:rPr>
          <w:rFonts w:cs="Arial"/>
          <w:color w:val="000000"/>
        </w:rPr>
        <w:t>En cas de déséquilibre financier significatif et prolongé ou de dysfonctionnements dans la gestion financière</w:t>
      </w:r>
      <w:r w:rsidRPr="003D3D43">
        <w:rPr>
          <w:rFonts w:cs="Arial"/>
          <w:b/>
          <w:color w:val="000000"/>
        </w:rPr>
        <w:t xml:space="preserve">, </w:t>
      </w:r>
      <w:r w:rsidRPr="003D3D43">
        <w:rPr>
          <w:rFonts w:cs="Arial"/>
          <w:color w:val="000000"/>
        </w:rPr>
        <w:t>l’autorité de tarification demandera à l’établissement de produire un plan de redressement adapté dans un délai qui sera fixé ultérieurement (</w:t>
      </w:r>
      <w:r w:rsidRPr="003D3D43">
        <w:rPr>
          <w:rFonts w:cs="Arial"/>
          <w:b/>
          <w:bCs/>
          <w:color w:val="000000"/>
        </w:rPr>
        <w:t xml:space="preserve">annexe </w:t>
      </w:r>
      <w:r w:rsidR="00C24BDF" w:rsidRPr="003D3D43">
        <w:rPr>
          <w:rFonts w:cs="Arial"/>
          <w:b/>
          <w:bCs/>
          <w:color w:val="000000"/>
        </w:rPr>
        <w:t>6</w:t>
      </w:r>
      <w:r w:rsidRPr="003D3D43">
        <w:rPr>
          <w:rFonts w:cs="Arial"/>
          <w:color w:val="000000"/>
        </w:rPr>
        <w:t>)</w:t>
      </w:r>
      <w:r w:rsidR="00426B6E" w:rsidRPr="003D3D43">
        <w:rPr>
          <w:rFonts w:cs="Arial"/>
          <w:color w:val="000000"/>
        </w:rPr>
        <w:t xml:space="preserve"> </w:t>
      </w:r>
      <w:r w:rsidR="00C3026C" w:rsidRPr="003D3D43">
        <w:rPr>
          <w:rFonts w:eastAsia="Calibri" w:cs="Arial"/>
        </w:rPr>
        <w:t>conformément à l’article L.313-12.2 du CASF.</w:t>
      </w:r>
    </w:p>
    <w:p w14:paraId="2C6026E5" w14:textId="16659BB3" w:rsidR="00943A7A" w:rsidRPr="003D3D43" w:rsidRDefault="00AB094A" w:rsidP="003D3D43">
      <w:pPr>
        <w:pStyle w:val="Sansinterligne"/>
        <w:jc w:val="both"/>
        <w:rPr>
          <w:rFonts w:cs="Arial"/>
        </w:rPr>
      </w:pPr>
      <w:r w:rsidRPr="003D3D43">
        <w:rPr>
          <w:rFonts w:cs="Arial"/>
        </w:rPr>
        <w:t> </w:t>
      </w:r>
      <w:bookmarkEnd w:id="20"/>
      <w:bookmarkEnd w:id="21"/>
    </w:p>
    <w:bookmarkEnd w:id="22"/>
    <w:p w14:paraId="689EB55A" w14:textId="2DCDA89B" w:rsidR="00943A7A" w:rsidRPr="00C76353" w:rsidRDefault="00954C45" w:rsidP="003D3D43">
      <w:pPr>
        <w:jc w:val="both"/>
        <w:rPr>
          <w:rFonts w:eastAsia="Arial" w:cs="Arial"/>
          <w:color w:val="0070C0"/>
        </w:rPr>
      </w:pPr>
      <w:r w:rsidRPr="003D3D43">
        <w:rPr>
          <w:rFonts w:eastAsia="Arial" w:cs="Arial"/>
          <w:b/>
          <w:bCs/>
          <w:color w:val="0070C0"/>
        </w:rPr>
        <w:t>4.</w:t>
      </w:r>
      <w:r w:rsidR="00676BA1" w:rsidRPr="003D3D43">
        <w:rPr>
          <w:rFonts w:eastAsia="Arial" w:cs="Arial"/>
          <w:b/>
          <w:bCs/>
          <w:color w:val="0070C0"/>
        </w:rPr>
        <w:t>5</w:t>
      </w:r>
      <w:r w:rsidR="00000789" w:rsidRPr="003D3D43">
        <w:rPr>
          <w:rFonts w:eastAsia="Arial" w:cs="Arial"/>
          <w:b/>
          <w:bCs/>
          <w:color w:val="0070C0"/>
        </w:rPr>
        <w:t xml:space="preserve">- </w:t>
      </w:r>
      <w:r w:rsidR="00943A7A" w:rsidRPr="003D3D43">
        <w:rPr>
          <w:rFonts w:eastAsia="Arial" w:cs="Arial"/>
          <w:b/>
          <w:bCs/>
          <w:color w:val="0070C0"/>
        </w:rPr>
        <w:t xml:space="preserve">Les frais de siège </w:t>
      </w:r>
      <w:r w:rsidR="00943A7A" w:rsidRPr="00C76353">
        <w:rPr>
          <w:rFonts w:eastAsia="Arial" w:cs="Arial"/>
          <w:color w:val="0070C0"/>
        </w:rPr>
        <w:t>(à adapter selon le cas et sans objet lorsque le gestionnaire ne gère qu’</w:t>
      </w:r>
      <w:r w:rsidR="00483B22" w:rsidRPr="00C76353">
        <w:rPr>
          <w:rFonts w:eastAsia="Arial" w:cs="Arial"/>
          <w:color w:val="0070C0"/>
        </w:rPr>
        <w:t>un</w:t>
      </w:r>
      <w:r w:rsidR="00943A7A" w:rsidRPr="00C76353">
        <w:rPr>
          <w:rFonts w:eastAsia="Arial" w:cs="Arial"/>
          <w:color w:val="0070C0"/>
        </w:rPr>
        <w:t xml:space="preserve"> ESMS</w:t>
      </w:r>
      <w:r w:rsidR="00EE5AAC" w:rsidRPr="00C76353">
        <w:rPr>
          <w:rFonts w:eastAsia="Arial" w:cs="Arial"/>
          <w:color w:val="0070C0"/>
        </w:rPr>
        <w:t>)</w:t>
      </w:r>
    </w:p>
    <w:p w14:paraId="179F8DCE" w14:textId="5F0FCD2F" w:rsidR="00E765D8" w:rsidRPr="003D3D43" w:rsidRDefault="00E765D8" w:rsidP="003D3D43">
      <w:pPr>
        <w:autoSpaceDE w:val="0"/>
        <w:autoSpaceDN w:val="0"/>
        <w:adjustRightInd w:val="0"/>
        <w:ind w:right="-333"/>
        <w:jc w:val="both"/>
        <w:rPr>
          <w:rStyle w:val="Rfrencelgre"/>
          <w:rFonts w:cs="Arial"/>
          <w:b/>
          <w:color w:val="FF0000"/>
          <w:sz w:val="22"/>
          <w:szCs w:val="22"/>
        </w:rPr>
      </w:pPr>
    </w:p>
    <w:p w14:paraId="241D8EDF" w14:textId="66121531" w:rsidR="00BF77B1" w:rsidRPr="003D3D43" w:rsidRDefault="00BF77B1" w:rsidP="003D3D43">
      <w:pPr>
        <w:keepLines w:val="0"/>
        <w:spacing w:after="120"/>
        <w:ind w:firstLine="1"/>
        <w:jc w:val="both"/>
        <w:rPr>
          <w:rFonts w:cs="Arial"/>
        </w:rPr>
      </w:pPr>
      <w:r w:rsidRPr="003D3D43">
        <w:rPr>
          <w:rFonts w:cs="Arial"/>
        </w:rPr>
        <w:t>Lorsque la procédure d’autorisation des frais de siège est concomitante au CPOM et que le périmètre du CPOM correspond à celui des établissements et services gérés par le gestionnaire (article L. 314-7 VI du CASF), il conviendra d’adapter l’autorisation des frais de siège en fonction de la situation du gestionnaire puisque c’est le principal financeur (ARS</w:t>
      </w:r>
      <w:r w:rsidR="00C76353">
        <w:rPr>
          <w:rFonts w:cs="Arial"/>
        </w:rPr>
        <w:t xml:space="preserve"> ou</w:t>
      </w:r>
      <w:r w:rsidRPr="003D3D43">
        <w:rPr>
          <w:rFonts w:cs="Arial"/>
        </w:rPr>
        <w:t xml:space="preserve"> Collectivité de Corse) qui est chargé de fixer les conditions d’autorisation des frais de siège.</w:t>
      </w:r>
    </w:p>
    <w:p w14:paraId="2DB68962" w14:textId="77777777" w:rsidR="00E765D8" w:rsidRPr="003D3D43" w:rsidRDefault="00E765D8" w:rsidP="003D3D43">
      <w:pPr>
        <w:keepLines w:val="0"/>
        <w:spacing w:after="120"/>
        <w:jc w:val="both"/>
        <w:rPr>
          <w:rFonts w:cs="Arial"/>
        </w:rPr>
      </w:pPr>
      <w:r w:rsidRPr="003D3D43">
        <w:rPr>
          <w:rFonts w:cs="Arial"/>
        </w:rPr>
        <w:t>Dans le cadre d’une demande d’autorisation ou d’un renouvellement d’autorisation de frais de siège social de l’association gestionnaire, il conviendra de transmettre, comme le prévoit l’arrêté du 10 novembre 2003, les pièces constitutives du dossier à l’autorité de tarification compétente en la matière (R 314-90 du CASF).</w:t>
      </w:r>
    </w:p>
    <w:p w14:paraId="3B8DA815" w14:textId="3E3CFC06" w:rsidR="00943A7A" w:rsidRPr="003D3D43" w:rsidRDefault="00943A7A" w:rsidP="003D3D43">
      <w:pPr>
        <w:autoSpaceDE w:val="0"/>
        <w:autoSpaceDN w:val="0"/>
        <w:adjustRightInd w:val="0"/>
        <w:jc w:val="both"/>
        <w:rPr>
          <w:rFonts w:cs="Arial"/>
          <w:szCs w:val="24"/>
        </w:rPr>
      </w:pPr>
      <w:r w:rsidRPr="003D3D43">
        <w:rPr>
          <w:rFonts w:cs="Arial"/>
          <w:szCs w:val="24"/>
        </w:rPr>
        <w:t xml:space="preserve">Dans la mesure du possible, l’entrée en vigueur et la durée de l’autorisation de frais de siège sont identiques à celles du présent contrat. L’arrêté portant autorisation des frais de siège est joint en </w:t>
      </w:r>
      <w:r w:rsidRPr="003D3D43">
        <w:rPr>
          <w:rFonts w:cs="Arial"/>
          <w:b/>
          <w:bCs/>
          <w:szCs w:val="24"/>
        </w:rPr>
        <w:t xml:space="preserve">annexe </w:t>
      </w:r>
      <w:r w:rsidR="00C24BDF" w:rsidRPr="003D3D43">
        <w:rPr>
          <w:rFonts w:cs="Arial"/>
          <w:b/>
          <w:bCs/>
          <w:szCs w:val="24"/>
        </w:rPr>
        <w:t>8</w:t>
      </w:r>
      <w:r w:rsidR="00F30988" w:rsidRPr="003D3D43">
        <w:rPr>
          <w:rFonts w:cs="Arial"/>
          <w:szCs w:val="24"/>
        </w:rPr>
        <w:t xml:space="preserve"> </w:t>
      </w:r>
      <w:r w:rsidRPr="003D3D43">
        <w:rPr>
          <w:rFonts w:cs="Arial"/>
          <w:szCs w:val="24"/>
        </w:rPr>
        <w:t>au présent contrat</w:t>
      </w:r>
      <w:r w:rsidR="00303688" w:rsidRPr="003D3D43">
        <w:rPr>
          <w:rFonts w:cs="Arial"/>
          <w:szCs w:val="24"/>
        </w:rPr>
        <w:t>.</w:t>
      </w:r>
    </w:p>
    <w:p w14:paraId="13ECB5E1" w14:textId="0F23B54B" w:rsidR="00AB094A" w:rsidRPr="003D3D43" w:rsidRDefault="00AB094A" w:rsidP="003D3D43">
      <w:pPr>
        <w:keepLines w:val="0"/>
        <w:autoSpaceDE w:val="0"/>
        <w:autoSpaceDN w:val="0"/>
        <w:adjustRightInd w:val="0"/>
        <w:jc w:val="both"/>
        <w:rPr>
          <w:rFonts w:cs="Arial"/>
          <w:iCs/>
          <w:szCs w:val="24"/>
        </w:rPr>
      </w:pPr>
    </w:p>
    <w:p w14:paraId="67EEC161" w14:textId="77777777" w:rsidR="004970FF" w:rsidRPr="003D3D43" w:rsidRDefault="004970FF" w:rsidP="003D3D43">
      <w:pPr>
        <w:keepLines w:val="0"/>
        <w:autoSpaceDE w:val="0"/>
        <w:autoSpaceDN w:val="0"/>
        <w:adjustRightInd w:val="0"/>
        <w:jc w:val="both"/>
        <w:rPr>
          <w:rFonts w:cs="Arial"/>
          <w:iCs/>
          <w:szCs w:val="24"/>
        </w:rPr>
      </w:pPr>
    </w:p>
    <w:p w14:paraId="6EDF1340" w14:textId="31342EEB" w:rsidR="00C3026C" w:rsidRPr="003D3D43" w:rsidRDefault="00C3026C" w:rsidP="003D3D43">
      <w:pPr>
        <w:pStyle w:val="Titre2"/>
        <w:jc w:val="both"/>
        <w:rPr>
          <w:rFonts w:ascii="Arial" w:hAnsi="Arial" w:cs="Arial"/>
          <w:b/>
          <w:bCs/>
          <w:sz w:val="24"/>
          <w:szCs w:val="24"/>
          <w:u w:val="single"/>
        </w:rPr>
      </w:pPr>
      <w:bookmarkStart w:id="23" w:name="_Hlk65247748"/>
      <w:bookmarkStart w:id="24" w:name="_Toc69303802"/>
      <w:r w:rsidRPr="003D3D43">
        <w:rPr>
          <w:rFonts w:ascii="Arial" w:hAnsi="Arial" w:cs="Arial"/>
          <w:b/>
          <w:bCs/>
          <w:sz w:val="24"/>
          <w:szCs w:val="24"/>
          <w:u w:val="single"/>
        </w:rPr>
        <w:t>Article 5</w:t>
      </w:r>
      <w:r w:rsidRPr="003D3D43">
        <w:rPr>
          <w:rFonts w:ascii="Arial" w:hAnsi="Arial" w:cs="Arial"/>
          <w:b/>
          <w:bCs/>
          <w:sz w:val="24"/>
          <w:szCs w:val="24"/>
        </w:rPr>
        <w:t xml:space="preserve"> – </w:t>
      </w:r>
      <w:r w:rsidRPr="003D3D43">
        <w:rPr>
          <w:rFonts w:ascii="Arial" w:hAnsi="Arial" w:cs="Arial"/>
          <w:b/>
          <w:bCs/>
          <w:sz w:val="24"/>
          <w:szCs w:val="24"/>
          <w:u w:val="single"/>
        </w:rPr>
        <w:t>Procédure budgétaire (EPRD</w:t>
      </w:r>
      <w:r w:rsidR="00EA09C2" w:rsidRPr="003D3D43">
        <w:rPr>
          <w:rFonts w:ascii="Arial" w:hAnsi="Arial" w:cs="Arial"/>
          <w:b/>
          <w:bCs/>
          <w:sz w:val="24"/>
          <w:szCs w:val="24"/>
          <w:u w:val="single"/>
        </w:rPr>
        <w:t>/ERRD</w:t>
      </w:r>
      <w:r w:rsidRPr="003D3D43">
        <w:rPr>
          <w:rFonts w:ascii="Arial" w:hAnsi="Arial" w:cs="Arial"/>
          <w:b/>
          <w:bCs/>
          <w:sz w:val="24"/>
          <w:szCs w:val="24"/>
          <w:u w:val="single"/>
        </w:rPr>
        <w:t>)</w:t>
      </w:r>
      <w:bookmarkEnd w:id="24"/>
      <w:r w:rsidRPr="003D3D43">
        <w:rPr>
          <w:rFonts w:ascii="Arial" w:hAnsi="Arial" w:cs="Arial"/>
          <w:b/>
          <w:bCs/>
          <w:sz w:val="24"/>
          <w:szCs w:val="24"/>
          <w:u w:val="single"/>
        </w:rPr>
        <w:t xml:space="preserve"> </w:t>
      </w:r>
    </w:p>
    <w:p w14:paraId="713E04E2" w14:textId="77777777" w:rsidR="00902626" w:rsidRPr="003D3D43" w:rsidRDefault="00902626" w:rsidP="003D3D43">
      <w:pPr>
        <w:jc w:val="both"/>
        <w:rPr>
          <w:rFonts w:eastAsia="Arial" w:cs="Arial"/>
        </w:rPr>
      </w:pPr>
    </w:p>
    <w:p w14:paraId="7DBCBDF1" w14:textId="77777777" w:rsidR="00D41D79" w:rsidRPr="003D3D43" w:rsidRDefault="00D41D79" w:rsidP="003D3D43">
      <w:pPr>
        <w:pStyle w:val="Sansinterligne"/>
        <w:jc w:val="both"/>
        <w:rPr>
          <w:rFonts w:cs="Arial"/>
        </w:rPr>
      </w:pPr>
      <w:bookmarkStart w:id="25" w:name="_Hlk67400751"/>
      <w:r w:rsidRPr="003D3D43">
        <w:rPr>
          <w:rFonts w:cs="Arial"/>
        </w:rPr>
        <w:t>La signature du présent CPOM entraine l’application d’un Etat Prévisionnel des Recettes et des Dépenses (EPRD) à compter de l’exercice suivant la signature du CPOM conformément au décret n°2016-1815 du 21 décembre 2016 modifiant les dispositions financières applicables aux ESMS mentionnés au I de l’article L312-1 du CASF.</w:t>
      </w:r>
    </w:p>
    <w:p w14:paraId="594254DB" w14:textId="344B5201" w:rsidR="00D41D79" w:rsidRPr="003D3D43" w:rsidRDefault="00D41D79" w:rsidP="003D3D43">
      <w:pPr>
        <w:pStyle w:val="Sansinterligne"/>
        <w:jc w:val="both"/>
        <w:rPr>
          <w:rFonts w:cs="Arial"/>
        </w:rPr>
      </w:pPr>
      <w:r w:rsidRPr="003D3D43">
        <w:rPr>
          <w:rFonts w:cs="Arial"/>
        </w:rPr>
        <w:t>L’EPRD devra être mis en place l’année qui suit la conclusion du CPOM (dispositions de l’article R314-39-2 CASF) pour les établissements et services relevant de l’article L312-12-2 du CASF.</w:t>
      </w:r>
    </w:p>
    <w:p w14:paraId="4895BCB7" w14:textId="77777777" w:rsidR="00D41D79" w:rsidRPr="003D3D43" w:rsidRDefault="00D41D79" w:rsidP="003D3D43">
      <w:pPr>
        <w:pStyle w:val="Sansinterligne"/>
        <w:jc w:val="both"/>
        <w:rPr>
          <w:rFonts w:cs="Arial"/>
        </w:rPr>
      </w:pPr>
    </w:p>
    <w:p w14:paraId="60BE4CB1" w14:textId="05AA8912" w:rsidR="00D41D79" w:rsidRPr="005F526A" w:rsidRDefault="00CE353E" w:rsidP="005F526A">
      <w:pPr>
        <w:keepLines w:val="0"/>
        <w:jc w:val="both"/>
        <w:rPr>
          <w:rFonts w:cs="Arial"/>
          <w:color w:val="000000"/>
        </w:rPr>
      </w:pPr>
      <w:r w:rsidRPr="003D3D43">
        <w:rPr>
          <w:rFonts w:cs="Arial"/>
          <w:color w:val="000000"/>
        </w:rPr>
        <w:lastRenderedPageBreak/>
        <w:t xml:space="preserve">Dans le cadre de la remise </w:t>
      </w:r>
      <w:bookmarkStart w:id="26" w:name="_Hlk67498742"/>
      <w:r w:rsidRPr="003D3D43">
        <w:rPr>
          <w:rFonts w:cs="Arial"/>
          <w:color w:val="000000"/>
        </w:rPr>
        <w:t>de l’E</w:t>
      </w:r>
      <w:r w:rsidR="00DC09EA" w:rsidRPr="003D3D43">
        <w:rPr>
          <w:rFonts w:cs="Arial"/>
          <w:color w:val="000000"/>
        </w:rPr>
        <w:t xml:space="preserve">tat </w:t>
      </w:r>
      <w:r w:rsidRPr="003D3D43">
        <w:rPr>
          <w:rFonts w:cs="Arial"/>
          <w:color w:val="000000"/>
        </w:rPr>
        <w:t>R</w:t>
      </w:r>
      <w:r w:rsidR="00DC09EA" w:rsidRPr="003D3D43">
        <w:rPr>
          <w:rFonts w:cs="Arial"/>
          <w:color w:val="000000"/>
        </w:rPr>
        <w:t xml:space="preserve">éalisé des </w:t>
      </w:r>
      <w:r w:rsidRPr="003D3D43">
        <w:rPr>
          <w:rFonts w:cs="Arial"/>
          <w:color w:val="000000"/>
        </w:rPr>
        <w:t>R</w:t>
      </w:r>
      <w:r w:rsidR="00DC09EA" w:rsidRPr="003D3D43">
        <w:rPr>
          <w:rFonts w:cs="Arial"/>
          <w:color w:val="000000"/>
        </w:rPr>
        <w:t xml:space="preserve">ecettes et des </w:t>
      </w:r>
      <w:r w:rsidRPr="003D3D43">
        <w:rPr>
          <w:rFonts w:cs="Arial"/>
          <w:color w:val="000000"/>
        </w:rPr>
        <w:t>D</w:t>
      </w:r>
      <w:r w:rsidR="00DC09EA" w:rsidRPr="003D3D43">
        <w:rPr>
          <w:rFonts w:cs="Arial"/>
          <w:color w:val="000000"/>
        </w:rPr>
        <w:t xml:space="preserve">épenses </w:t>
      </w:r>
      <w:bookmarkEnd w:id="26"/>
      <w:r w:rsidR="00DC09EA" w:rsidRPr="003D3D43">
        <w:rPr>
          <w:rFonts w:cs="Arial"/>
          <w:color w:val="000000"/>
        </w:rPr>
        <w:t>(ERRD)</w:t>
      </w:r>
      <w:r w:rsidRPr="003D3D43">
        <w:rPr>
          <w:rFonts w:cs="Arial"/>
          <w:color w:val="000000"/>
        </w:rPr>
        <w:t>, au 30 avril de l’année N+1 pour l’ensemble des établissements et services sauf pour les établissem</w:t>
      </w:r>
      <w:r w:rsidR="00DC09EA" w:rsidRPr="003D3D43">
        <w:rPr>
          <w:rFonts w:cs="Arial"/>
          <w:color w:val="000000"/>
        </w:rPr>
        <w:t>e</w:t>
      </w:r>
      <w:r w:rsidRPr="003D3D43">
        <w:rPr>
          <w:rFonts w:cs="Arial"/>
          <w:color w:val="000000"/>
        </w:rPr>
        <w:t>nts publics de santé où elle est fixée au 31 juillet n+1, il est demandé que soit jointe</w:t>
      </w:r>
      <w:r w:rsidR="002045AD" w:rsidRPr="003D3D43">
        <w:rPr>
          <w:rFonts w:cs="Arial"/>
          <w:color w:val="000000"/>
        </w:rPr>
        <w:t> </w:t>
      </w:r>
      <w:r w:rsidR="005F526A">
        <w:rPr>
          <w:rFonts w:cs="Arial"/>
          <w:color w:val="000000"/>
        </w:rPr>
        <w:t>u</w:t>
      </w:r>
      <w:r w:rsidRPr="005F526A">
        <w:rPr>
          <w:rFonts w:cs="Arial"/>
          <w:color w:val="000000"/>
        </w:rPr>
        <w:t>ne revue des objectifs et des fiches actions afférentes fixés au CPOM (</w:t>
      </w:r>
      <w:r w:rsidRPr="005F526A">
        <w:rPr>
          <w:rFonts w:cs="Arial"/>
          <w:b/>
          <w:bCs/>
          <w:color w:val="000000"/>
        </w:rPr>
        <w:t>annexes 3 et 4</w:t>
      </w:r>
      <w:r w:rsidRPr="005F526A">
        <w:rPr>
          <w:rFonts w:cs="Arial"/>
          <w:color w:val="000000"/>
        </w:rPr>
        <w:t>). Cette revue doi</w:t>
      </w:r>
      <w:r w:rsidR="002045AD" w:rsidRPr="005F526A">
        <w:rPr>
          <w:rFonts w:cs="Arial"/>
          <w:color w:val="000000"/>
        </w:rPr>
        <w:t>t</w:t>
      </w:r>
      <w:r w:rsidRPr="005F526A">
        <w:rPr>
          <w:rFonts w:cs="Arial"/>
          <w:color w:val="000000"/>
        </w:rPr>
        <w:t xml:space="preserve"> comporter, pour chaque objectif et actions le niveau de réalisation comparé </w:t>
      </w:r>
      <w:r w:rsidR="002045AD" w:rsidRPr="005F526A">
        <w:rPr>
          <w:rFonts w:cs="Arial"/>
          <w:color w:val="000000"/>
        </w:rPr>
        <w:t>à l’indicateur</w:t>
      </w:r>
      <w:r w:rsidRPr="005F526A">
        <w:rPr>
          <w:rFonts w:cs="Arial"/>
          <w:color w:val="000000"/>
        </w:rPr>
        <w:t xml:space="preserve"> cible, ainsi que tout élément permettant d’apprécier son atteinte</w:t>
      </w:r>
      <w:r w:rsidR="005F526A">
        <w:rPr>
          <w:rFonts w:cs="Arial"/>
          <w:color w:val="000000"/>
        </w:rPr>
        <w:t xml:space="preserve"> à savoir :</w:t>
      </w:r>
    </w:p>
    <w:p w14:paraId="7F911B28" w14:textId="77777777" w:rsidR="00D41D79" w:rsidRPr="003D3D43" w:rsidRDefault="00D41D79" w:rsidP="00A33994">
      <w:pPr>
        <w:numPr>
          <w:ilvl w:val="0"/>
          <w:numId w:val="12"/>
        </w:numPr>
        <w:jc w:val="both"/>
        <w:rPr>
          <w:rFonts w:cs="Arial"/>
          <w:iCs/>
        </w:rPr>
      </w:pPr>
      <w:r w:rsidRPr="003D3D43">
        <w:rPr>
          <w:rFonts w:cs="Arial"/>
          <w:iCs/>
        </w:rPr>
        <w:t xml:space="preserve">Montant des dotations globalisés communes et autres financements éventuels ; </w:t>
      </w:r>
    </w:p>
    <w:p w14:paraId="7CCBCD35" w14:textId="77777777" w:rsidR="00D41D79" w:rsidRPr="003D3D43" w:rsidRDefault="00D41D79" w:rsidP="00A33994">
      <w:pPr>
        <w:numPr>
          <w:ilvl w:val="0"/>
          <w:numId w:val="12"/>
        </w:numPr>
        <w:jc w:val="both"/>
        <w:rPr>
          <w:rFonts w:cs="Arial"/>
          <w:iCs/>
        </w:rPr>
      </w:pPr>
      <w:r w:rsidRPr="003D3D43">
        <w:rPr>
          <w:rFonts w:cs="Arial"/>
          <w:iCs/>
        </w:rPr>
        <w:t>Modalités d’affectation des résultats en lien avec les objectifs (la libre affectation des résultats par l’OG est le principe, tout en respectant néanmoins les objectifs du CPOM) ;</w:t>
      </w:r>
    </w:p>
    <w:p w14:paraId="7013FC52" w14:textId="74EE5748" w:rsidR="00D41D79" w:rsidRPr="003D3D43" w:rsidRDefault="00D41D79" w:rsidP="00A33994">
      <w:pPr>
        <w:numPr>
          <w:ilvl w:val="0"/>
          <w:numId w:val="12"/>
        </w:numPr>
        <w:jc w:val="both"/>
        <w:rPr>
          <w:rFonts w:cs="Arial"/>
          <w:iCs/>
        </w:rPr>
      </w:pPr>
      <w:r w:rsidRPr="003D3D43">
        <w:rPr>
          <w:rFonts w:cs="Arial"/>
          <w:iCs/>
        </w:rPr>
        <w:t>Frais de siège (</w:t>
      </w:r>
      <w:r w:rsidRPr="003D3D43">
        <w:rPr>
          <w:rFonts w:cs="Arial"/>
          <w:b/>
          <w:bCs/>
          <w:iCs/>
        </w:rPr>
        <w:t xml:space="preserve">annexe </w:t>
      </w:r>
      <w:r w:rsidR="005F526A">
        <w:rPr>
          <w:rFonts w:cs="Arial"/>
          <w:b/>
          <w:bCs/>
          <w:iCs/>
        </w:rPr>
        <w:t>8</w:t>
      </w:r>
      <w:r w:rsidRPr="003D3D43">
        <w:rPr>
          <w:rFonts w:cs="Arial"/>
          <w:iCs/>
        </w:rPr>
        <w:t>).</w:t>
      </w:r>
    </w:p>
    <w:p w14:paraId="043F5691" w14:textId="596CC21C" w:rsidR="00D41D79" w:rsidRDefault="00D41D79" w:rsidP="003D3D43">
      <w:pPr>
        <w:ind w:left="720"/>
        <w:jc w:val="both"/>
        <w:rPr>
          <w:rFonts w:cs="Arial"/>
          <w:iCs/>
        </w:rPr>
      </w:pPr>
    </w:p>
    <w:p w14:paraId="3C5F8975" w14:textId="77777777" w:rsidR="00E377EE" w:rsidRPr="003D3D43" w:rsidRDefault="00E377EE" w:rsidP="003D3D43">
      <w:pPr>
        <w:ind w:left="720"/>
        <w:jc w:val="both"/>
        <w:rPr>
          <w:rFonts w:cs="Arial"/>
          <w:iCs/>
        </w:rPr>
      </w:pPr>
    </w:p>
    <w:p w14:paraId="49C3CEB9" w14:textId="4D4BE31C" w:rsidR="00D41D79" w:rsidRPr="003D3D43" w:rsidRDefault="00D41D79" w:rsidP="003D3D43">
      <w:pPr>
        <w:keepLines w:val="0"/>
        <w:spacing w:after="120"/>
        <w:ind w:firstLine="1"/>
        <w:jc w:val="both"/>
        <w:rPr>
          <w:rFonts w:cs="Arial"/>
        </w:rPr>
      </w:pPr>
      <w:r w:rsidRPr="003D3D43">
        <w:rPr>
          <w:rFonts w:cs="Arial"/>
        </w:rPr>
        <w:t xml:space="preserve">Chaque année le gestionnaire devra également transmettre à l’ARS et à la Collectivité de Corse, une annexe activité en version électronique pour le 31/10/N-1 conformément à l’article R 314-219 du </w:t>
      </w:r>
      <w:r w:rsidR="00D35AB9">
        <w:rPr>
          <w:rFonts w:cs="Arial"/>
        </w:rPr>
        <w:t>CASF.</w:t>
      </w:r>
    </w:p>
    <w:p w14:paraId="2B6DB7A7" w14:textId="41722B1D" w:rsidR="00D41D79" w:rsidRDefault="00D41D79" w:rsidP="003D3D43">
      <w:pPr>
        <w:keepLines w:val="0"/>
        <w:spacing w:after="120"/>
        <w:ind w:firstLine="1"/>
        <w:jc w:val="both"/>
        <w:rPr>
          <w:rFonts w:cs="Arial"/>
        </w:rPr>
      </w:pPr>
      <w:r w:rsidRPr="003D3D43">
        <w:rPr>
          <w:rFonts w:cs="Arial"/>
        </w:rPr>
        <w:t xml:space="preserve">Par ailleurs, le gestionnaire adressera chaque année à la Collectivité de Corse à titre complémentaire un tableau d’activité prévisionnelle « hébergement » et « dépendance », en précisant la part des personnes âgées et des personnes handicapées dans les ESMS n’ayant par leur domicile de secours en Corse. Cette information permettra notamment, sur la base du forfait global dépendance fixé par la CdC, de facturer les départements extérieurs, qui seront mis en diminution de la dotation globalisée versée par la CdC. </w:t>
      </w:r>
    </w:p>
    <w:p w14:paraId="53ECDF03" w14:textId="77777777" w:rsidR="009E4F52" w:rsidRPr="003D3D43" w:rsidRDefault="009E4F52" w:rsidP="003D3D43">
      <w:pPr>
        <w:keepLines w:val="0"/>
        <w:spacing w:after="120"/>
        <w:ind w:firstLine="1"/>
        <w:jc w:val="both"/>
        <w:rPr>
          <w:rFonts w:cs="Arial"/>
        </w:rPr>
      </w:pPr>
    </w:p>
    <w:bookmarkEnd w:id="25"/>
    <w:p w14:paraId="6453D198" w14:textId="77777777" w:rsidR="00832CAD" w:rsidRPr="003D3D43" w:rsidRDefault="00832CAD" w:rsidP="003D3D43">
      <w:pPr>
        <w:pStyle w:val="Sansinterligne"/>
        <w:jc w:val="both"/>
        <w:rPr>
          <w:rFonts w:cs="Arial"/>
        </w:rPr>
      </w:pPr>
      <w:r w:rsidRPr="003D3D43">
        <w:rPr>
          <w:rFonts w:cs="Arial"/>
        </w:rPr>
        <w:t>Il convient de rappeler que l’allocation budgétaire de l’ensemble des EHPAD se fait automatiquement dès 2017 hors du cadre de la procédure contradictoire budgétaire dans le cadre de la mise en œuvre de la tarification à la ressource utilisant notamment un Etat Prévisionnel des Recettes et des Dépenses (EPRD). Les tarifs « hébergement », lorsque l’établissement est habilité à l’aide sociale territoriale ne sont plus soumis à une procédure contradictoire à compter de la signature du CPOM.</w:t>
      </w:r>
    </w:p>
    <w:p w14:paraId="1D88AB7C" w14:textId="3A20C0BE" w:rsidR="00574F45" w:rsidRPr="003D3D43" w:rsidRDefault="00574F45" w:rsidP="003D3D43">
      <w:pPr>
        <w:keepLines w:val="0"/>
        <w:spacing w:after="120"/>
        <w:jc w:val="both"/>
        <w:rPr>
          <w:rFonts w:cs="Arial"/>
        </w:rPr>
      </w:pPr>
    </w:p>
    <w:p w14:paraId="2A9B9141" w14:textId="3DBF89A5" w:rsidR="00C3026C" w:rsidRDefault="00C3026C" w:rsidP="003D3D43">
      <w:pPr>
        <w:pStyle w:val="Titre2"/>
        <w:jc w:val="both"/>
        <w:rPr>
          <w:rFonts w:ascii="Arial" w:hAnsi="Arial" w:cs="Arial"/>
          <w:b/>
          <w:bCs/>
          <w:sz w:val="24"/>
          <w:szCs w:val="24"/>
          <w:u w:val="single"/>
        </w:rPr>
      </w:pPr>
      <w:bookmarkStart w:id="27" w:name="_Toc69303803"/>
      <w:r w:rsidRPr="003D3D43">
        <w:rPr>
          <w:rFonts w:ascii="Arial" w:hAnsi="Arial" w:cs="Arial"/>
          <w:b/>
          <w:bCs/>
          <w:sz w:val="24"/>
          <w:szCs w:val="24"/>
          <w:u w:val="single"/>
        </w:rPr>
        <w:t>Article 6</w:t>
      </w:r>
      <w:r w:rsidRPr="003D3D43">
        <w:rPr>
          <w:rFonts w:ascii="Arial" w:hAnsi="Arial" w:cs="Arial"/>
          <w:b/>
          <w:bCs/>
          <w:sz w:val="24"/>
          <w:szCs w:val="24"/>
        </w:rPr>
        <w:t xml:space="preserve"> – </w:t>
      </w:r>
      <w:r w:rsidRPr="003D3D43">
        <w:rPr>
          <w:rFonts w:ascii="Arial" w:hAnsi="Arial" w:cs="Arial"/>
          <w:b/>
          <w:bCs/>
          <w:sz w:val="24"/>
          <w:szCs w:val="24"/>
          <w:u w:val="single"/>
        </w:rPr>
        <w:t>Investissements</w:t>
      </w:r>
      <w:bookmarkEnd w:id="27"/>
    </w:p>
    <w:p w14:paraId="71326B2D" w14:textId="77777777" w:rsidR="00E377EE" w:rsidRPr="00E377EE" w:rsidRDefault="00E377EE" w:rsidP="00E377EE"/>
    <w:p w14:paraId="2D20420E" w14:textId="77777777" w:rsidR="00C3026C" w:rsidRPr="003D3D43" w:rsidRDefault="00C3026C" w:rsidP="00A33994">
      <w:pPr>
        <w:keepLines w:val="0"/>
        <w:numPr>
          <w:ilvl w:val="1"/>
          <w:numId w:val="15"/>
        </w:numPr>
        <w:pBdr>
          <w:top w:val="nil"/>
          <w:left w:val="nil"/>
          <w:bottom w:val="nil"/>
          <w:right w:val="nil"/>
          <w:between w:val="nil"/>
        </w:pBdr>
        <w:spacing w:before="120"/>
        <w:ind w:left="426"/>
        <w:jc w:val="both"/>
        <w:rPr>
          <w:rFonts w:eastAsia="Arial" w:cs="Arial"/>
          <w:b/>
          <w:bCs/>
          <w:color w:val="1F3763" w:themeColor="accent1" w:themeShade="7F"/>
        </w:rPr>
      </w:pPr>
      <w:r w:rsidRPr="003D3D43">
        <w:rPr>
          <w:rFonts w:eastAsia="Arial" w:cs="Arial"/>
          <w:b/>
          <w:bCs/>
          <w:color w:val="1F3763" w:themeColor="accent1" w:themeShade="7F"/>
        </w:rPr>
        <w:t>Schéma directeur immobilier</w:t>
      </w:r>
    </w:p>
    <w:p w14:paraId="3E3BA784" w14:textId="77777777" w:rsidR="00984B26" w:rsidRPr="003D3D43" w:rsidRDefault="00984B26" w:rsidP="003D3D43">
      <w:pPr>
        <w:pStyle w:val="Sansinterligne"/>
        <w:jc w:val="both"/>
        <w:rPr>
          <w:rFonts w:eastAsia="Arial" w:cs="Arial"/>
          <w:b/>
          <w:bCs/>
          <w:color w:val="1F3763" w:themeColor="accent1" w:themeShade="7F"/>
        </w:rPr>
      </w:pPr>
    </w:p>
    <w:p w14:paraId="7BF668F0" w14:textId="36468B32" w:rsidR="00984B26" w:rsidRDefault="00C3026C" w:rsidP="003D3D43">
      <w:pPr>
        <w:pStyle w:val="Sansinterligne"/>
        <w:jc w:val="both"/>
        <w:rPr>
          <w:rFonts w:eastAsia="Calibri" w:cs="Arial"/>
        </w:rPr>
      </w:pPr>
      <w:r w:rsidRPr="003D3D43">
        <w:rPr>
          <w:rFonts w:eastAsia="Calibri" w:cs="Arial"/>
        </w:rPr>
        <w:t xml:space="preserve">Dès lors qu’il est gestionnaire de plusieurs sites ou de plusieurs bâtiments, </w:t>
      </w:r>
      <w:r w:rsidR="00D35AB9">
        <w:rPr>
          <w:rFonts w:eastAsia="Calibri" w:cs="Arial"/>
        </w:rPr>
        <w:t>le</w:t>
      </w:r>
      <w:r w:rsidRPr="003D3D43">
        <w:rPr>
          <w:rFonts w:eastAsia="Calibri" w:cs="Arial"/>
        </w:rPr>
        <w:t xml:space="preserve"> gestionnaire s’engage dans la période du CPOM à élaborer un schéma directeur immobilier portant sur l’ensemble des sites, s’appuyant sur un diagnostic technique et fonctionnel du patrimoine et apportant une vision prospective de l’adéquation des locaux au regard des besoins, de leurs évolutions et adaptations </w:t>
      </w:r>
      <w:r w:rsidR="00EA010C" w:rsidRPr="003D3D43">
        <w:rPr>
          <w:rFonts w:eastAsia="Calibri" w:cs="Arial"/>
        </w:rPr>
        <w:t xml:space="preserve"> </w:t>
      </w:r>
      <w:r w:rsidRPr="003D3D43">
        <w:rPr>
          <w:rFonts w:eastAsia="Calibri" w:cs="Arial"/>
        </w:rPr>
        <w:t>nécessaires, des besoins d’investissement correspondants et des opportunités de cession ou de valorisation. Ce schéma a vocation à être décliné au niveau d’un PPI</w:t>
      </w:r>
      <w:r w:rsidR="00995388" w:rsidRPr="003D3D43">
        <w:rPr>
          <w:rFonts w:eastAsia="Calibri" w:cs="Arial"/>
        </w:rPr>
        <w:t xml:space="preserve"> (</w:t>
      </w:r>
      <w:r w:rsidR="00995388" w:rsidRPr="003D3D43">
        <w:rPr>
          <w:rFonts w:eastAsia="Calibri" w:cs="Arial"/>
          <w:b/>
          <w:bCs/>
        </w:rPr>
        <w:t xml:space="preserve">annexe </w:t>
      </w:r>
      <w:r w:rsidR="00C24BDF" w:rsidRPr="003D3D43">
        <w:rPr>
          <w:rFonts w:eastAsia="Calibri" w:cs="Arial"/>
          <w:b/>
          <w:bCs/>
        </w:rPr>
        <w:t>5</w:t>
      </w:r>
      <w:r w:rsidR="00995388" w:rsidRPr="003D3D43">
        <w:rPr>
          <w:rFonts w:eastAsia="Calibri" w:cs="Arial"/>
        </w:rPr>
        <w:t>)</w:t>
      </w:r>
      <w:r w:rsidRPr="003D3D43">
        <w:rPr>
          <w:rFonts w:eastAsia="Calibri" w:cs="Arial"/>
        </w:rPr>
        <w:t>. Il s’agit d’un prérequis pour la validation de tout projet d’investissement stratégique.</w:t>
      </w:r>
    </w:p>
    <w:p w14:paraId="4B56BBBB" w14:textId="77777777" w:rsidR="00E377EE" w:rsidRPr="003D3D43" w:rsidRDefault="00E377EE" w:rsidP="003D3D43">
      <w:pPr>
        <w:pStyle w:val="Sansinterligne"/>
        <w:jc w:val="both"/>
        <w:rPr>
          <w:rFonts w:eastAsia="Calibri" w:cs="Arial"/>
        </w:rPr>
      </w:pPr>
    </w:p>
    <w:p w14:paraId="7D241447" w14:textId="77777777" w:rsidR="00984B26" w:rsidRPr="003D3D43" w:rsidRDefault="00984B26" w:rsidP="003D3D43">
      <w:pPr>
        <w:pStyle w:val="Sansinterligne"/>
        <w:jc w:val="both"/>
        <w:rPr>
          <w:rFonts w:eastAsia="Calibri" w:cs="Arial"/>
        </w:rPr>
      </w:pPr>
    </w:p>
    <w:p w14:paraId="479BF198" w14:textId="77777777" w:rsidR="00C3026C" w:rsidRPr="003D3D43" w:rsidRDefault="00C3026C" w:rsidP="00A33994">
      <w:pPr>
        <w:keepLines w:val="0"/>
        <w:numPr>
          <w:ilvl w:val="1"/>
          <w:numId w:val="15"/>
        </w:numPr>
        <w:pBdr>
          <w:top w:val="nil"/>
          <w:left w:val="nil"/>
          <w:bottom w:val="nil"/>
          <w:right w:val="nil"/>
          <w:between w:val="nil"/>
        </w:pBdr>
        <w:spacing w:before="120"/>
        <w:ind w:left="426"/>
        <w:jc w:val="both"/>
        <w:rPr>
          <w:rFonts w:eastAsia="Arial" w:cs="Arial"/>
          <w:b/>
          <w:bCs/>
          <w:color w:val="1F3763" w:themeColor="accent1" w:themeShade="7F"/>
        </w:rPr>
      </w:pPr>
      <w:r w:rsidRPr="003D3D43">
        <w:rPr>
          <w:rFonts w:eastAsia="Arial" w:cs="Arial"/>
          <w:b/>
          <w:bCs/>
          <w:color w:val="1F3763" w:themeColor="accent1" w:themeShade="7F"/>
        </w:rPr>
        <w:t>Projet d’investissement stratégique</w:t>
      </w:r>
    </w:p>
    <w:p w14:paraId="44902764" w14:textId="77777777" w:rsidR="00C3026C" w:rsidRPr="003D3D43" w:rsidRDefault="00C3026C" w:rsidP="003D3D43">
      <w:pPr>
        <w:pStyle w:val="Sansinterligne"/>
        <w:jc w:val="both"/>
        <w:rPr>
          <w:rFonts w:cs="Arial"/>
        </w:rPr>
      </w:pPr>
    </w:p>
    <w:p w14:paraId="6943F2A1" w14:textId="39EE69C9" w:rsidR="00C3026C" w:rsidRPr="003D3D43" w:rsidRDefault="00C3026C" w:rsidP="003D3D43">
      <w:pPr>
        <w:pStyle w:val="Sansinterligne"/>
        <w:jc w:val="both"/>
        <w:rPr>
          <w:rFonts w:eastAsia="Calibri" w:cs="Arial"/>
        </w:rPr>
      </w:pPr>
      <w:r w:rsidRPr="003D3D43">
        <w:rPr>
          <w:rFonts w:eastAsia="Calibri" w:cs="Arial"/>
        </w:rPr>
        <w:t>Toute réalisation de projet stratégique</w:t>
      </w:r>
      <w:r w:rsidRPr="003D3D43">
        <w:rPr>
          <w:rFonts w:eastAsia="Calibri" w:cs="Arial"/>
          <w:vertAlign w:val="superscript"/>
        </w:rPr>
        <w:footnoteReference w:id="3"/>
      </w:r>
      <w:r w:rsidRPr="003D3D43">
        <w:rPr>
          <w:rFonts w:eastAsia="Calibri" w:cs="Arial"/>
        </w:rPr>
        <w:t xml:space="preserve"> doit faire l’objet, en amont, d’une formalisation avec l’ARS et </w:t>
      </w:r>
      <w:r w:rsidR="00D35AB9">
        <w:rPr>
          <w:rFonts w:eastAsia="Calibri" w:cs="Arial"/>
        </w:rPr>
        <w:t>la CdC</w:t>
      </w:r>
      <w:r w:rsidRPr="003D3D43">
        <w:rPr>
          <w:rFonts w:eastAsia="Calibri" w:cs="Arial"/>
        </w:rPr>
        <w:t xml:space="preserve"> (expression des besoins, lancement de l’étude de faisabilité) portant sur la cohérence avec le schéma directeur immobilier, le cadrage des prérequis, les étapes à mettre en œuvre dans la démarche, les outils et référentiels à mobiliser, le calendrier et le pilotage du projet. Il s’agit des conditions préalables nécessaires pour une instruction future du projet d’investissement.</w:t>
      </w:r>
    </w:p>
    <w:p w14:paraId="6EBFF961" w14:textId="77777777" w:rsidR="00C3026C" w:rsidRPr="003D3D43" w:rsidRDefault="00C3026C" w:rsidP="003D3D43">
      <w:pPr>
        <w:pStyle w:val="Sansinterligne"/>
        <w:jc w:val="both"/>
        <w:rPr>
          <w:rFonts w:eastAsia="Calibri" w:cs="Arial"/>
        </w:rPr>
      </w:pPr>
    </w:p>
    <w:p w14:paraId="55CEF7D9" w14:textId="5F8D6049" w:rsidR="00C3026C" w:rsidRPr="003D3D43" w:rsidRDefault="00C3026C" w:rsidP="003D3D43">
      <w:pPr>
        <w:pStyle w:val="Sansinterligne"/>
        <w:jc w:val="both"/>
        <w:rPr>
          <w:rFonts w:eastAsia="Calibri" w:cs="Arial"/>
        </w:rPr>
      </w:pPr>
      <w:r w:rsidRPr="003D3D43">
        <w:rPr>
          <w:rFonts w:eastAsia="Calibri" w:cs="Arial"/>
        </w:rPr>
        <w:t xml:space="preserve">Tout projet sera accompagné d’un rapport d’évaluation socio-économique comprenant tout élément justificatif sur les opérations immobilières envisagées (note descriptive des opérations de travaux projetées, plans et tableaux des surfaces, détail du chiffrage des coûts d’opération). Cette étude sera complétée par les aspects budgétaires et </w:t>
      </w:r>
      <w:r w:rsidRPr="003D3D43">
        <w:rPr>
          <w:rFonts w:eastAsia="Arial" w:cs="Arial"/>
        </w:rPr>
        <w:t>financiers</w:t>
      </w:r>
      <w:r w:rsidRPr="003D3D43">
        <w:rPr>
          <w:rFonts w:eastAsia="Calibri" w:cs="Arial"/>
        </w:rPr>
        <w:t xml:space="preserve"> présentés sous la forme d’un PPI actualisé. </w:t>
      </w:r>
    </w:p>
    <w:p w14:paraId="0007122F" w14:textId="5E3D022F" w:rsidR="00C3026C" w:rsidRDefault="00C3026C" w:rsidP="003D3D43">
      <w:pPr>
        <w:jc w:val="both"/>
        <w:rPr>
          <w:rFonts w:eastAsia="Calibri" w:cs="Arial"/>
          <w:color w:val="FF0000"/>
          <w:sz w:val="22"/>
          <w:szCs w:val="22"/>
        </w:rPr>
      </w:pPr>
    </w:p>
    <w:p w14:paraId="2146C624" w14:textId="332C05BB" w:rsidR="00E377EE" w:rsidRDefault="00E377EE" w:rsidP="003D3D43">
      <w:pPr>
        <w:jc w:val="both"/>
        <w:rPr>
          <w:rFonts w:eastAsia="Calibri" w:cs="Arial"/>
          <w:color w:val="FF0000"/>
          <w:sz w:val="22"/>
          <w:szCs w:val="22"/>
        </w:rPr>
      </w:pPr>
    </w:p>
    <w:p w14:paraId="2A513A17" w14:textId="77777777" w:rsidR="00C3026C" w:rsidRPr="003D3D43" w:rsidRDefault="00C3026C" w:rsidP="00A33994">
      <w:pPr>
        <w:keepLines w:val="0"/>
        <w:numPr>
          <w:ilvl w:val="1"/>
          <w:numId w:val="15"/>
        </w:numPr>
        <w:pBdr>
          <w:top w:val="nil"/>
          <w:left w:val="nil"/>
          <w:bottom w:val="nil"/>
          <w:right w:val="nil"/>
          <w:between w:val="nil"/>
        </w:pBdr>
        <w:spacing w:before="120"/>
        <w:ind w:left="426"/>
        <w:jc w:val="both"/>
        <w:rPr>
          <w:rFonts w:eastAsia="Arial" w:cs="Arial"/>
          <w:b/>
          <w:bCs/>
          <w:color w:val="1F3763" w:themeColor="accent1" w:themeShade="7F"/>
        </w:rPr>
      </w:pPr>
      <w:r w:rsidRPr="003D3D43">
        <w:rPr>
          <w:rFonts w:eastAsia="Arial" w:cs="Arial"/>
          <w:b/>
          <w:bCs/>
          <w:color w:val="1F3763" w:themeColor="accent1" w:themeShade="7F"/>
        </w:rPr>
        <w:lastRenderedPageBreak/>
        <w:t>Investissements concernant le matériel et les petits équipements</w:t>
      </w:r>
    </w:p>
    <w:p w14:paraId="092E53DC" w14:textId="77777777" w:rsidR="00C3026C" w:rsidRPr="003D3D43" w:rsidRDefault="00C3026C" w:rsidP="003D3D43">
      <w:pPr>
        <w:jc w:val="both"/>
        <w:rPr>
          <w:rFonts w:eastAsia="Calibri" w:cs="Arial"/>
          <w:sz w:val="22"/>
          <w:szCs w:val="22"/>
        </w:rPr>
      </w:pPr>
    </w:p>
    <w:p w14:paraId="5153D552" w14:textId="77777777" w:rsidR="00C3026C" w:rsidRPr="003D3D43" w:rsidRDefault="00C3026C" w:rsidP="003D3D43">
      <w:pPr>
        <w:pStyle w:val="Sansinterligne"/>
        <w:jc w:val="both"/>
        <w:rPr>
          <w:rFonts w:eastAsia="Calibri" w:cs="Arial"/>
        </w:rPr>
      </w:pPr>
      <w:r w:rsidRPr="003D3D43">
        <w:rPr>
          <w:rFonts w:eastAsia="Calibri" w:cs="Arial"/>
        </w:rPr>
        <w:t>Les investissements liés au renouvellement de matériel et de petits équipements se feront dans la limite de la dotation globale commune. Les surcoûts seront financés par redéploiement budgétaire et/ou baisse des amortissements et/ou charges financières des anciens emprunts. Dans ce cadre, la présentation d’un PPI ne sera pas systématiquement obligatoire. Cependant tout nouvel emprunt fera l’objet d’une autorisation de l’autorité de tarification.</w:t>
      </w:r>
    </w:p>
    <w:bookmarkEnd w:id="23"/>
    <w:p w14:paraId="6A025ABB" w14:textId="6C2AF22F" w:rsidR="00902626" w:rsidRPr="00473B51" w:rsidRDefault="00902626" w:rsidP="008727BC">
      <w:pPr>
        <w:pStyle w:val="Sansinterligne"/>
        <w:jc w:val="both"/>
        <w:rPr>
          <w:rFonts w:eastAsia="Calibri" w:cs="Arial"/>
        </w:rPr>
      </w:pPr>
      <w:r w:rsidRPr="00473B51">
        <w:rPr>
          <w:rFonts w:eastAsia="Calibri" w:cs="Arial"/>
        </w:rPr>
        <w:br w:type="page"/>
      </w:r>
    </w:p>
    <w:bookmarkStart w:id="28" w:name="_Toc69303804"/>
    <w:p w14:paraId="6246AEA5" w14:textId="1236E429" w:rsidR="00943A7A" w:rsidRPr="00473B51" w:rsidRDefault="00635EBC" w:rsidP="00473B51">
      <w:pPr>
        <w:pStyle w:val="Titre1"/>
        <w:jc w:val="center"/>
        <w:rPr>
          <w:rFonts w:ascii="Arial" w:hAnsi="Arial" w:cs="Arial"/>
          <w:color w:val="000000" w:themeColor="text1"/>
          <w:sz w:val="32"/>
          <w:szCs w:val="32"/>
        </w:rPr>
      </w:pPr>
      <w:r w:rsidRPr="00473B51">
        <w:rPr>
          <w:rFonts w:ascii="Arial" w:hAnsi="Arial" w:cs="Arial"/>
          <w:noProof/>
          <w:color w:val="000000" w:themeColor="text1"/>
          <w:sz w:val="22"/>
          <w:szCs w:val="22"/>
        </w:rPr>
        <w:lastRenderedPageBreak/>
        <mc:AlternateContent>
          <mc:Choice Requires="wps">
            <w:drawing>
              <wp:anchor distT="0" distB="0" distL="114300" distR="114300" simplePos="0" relativeHeight="251667456" behindDoc="0" locked="0" layoutInCell="1" allowOverlap="1" wp14:anchorId="644FA894" wp14:editId="484AC224">
                <wp:simplePos x="0" y="0"/>
                <wp:positionH relativeFrom="margin">
                  <wp:align>right</wp:align>
                </wp:positionH>
                <wp:positionV relativeFrom="paragraph">
                  <wp:posOffset>-76835</wp:posOffset>
                </wp:positionV>
                <wp:extent cx="6010275" cy="40957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6010275" cy="40957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21CAB" id="Rectangle 28" o:spid="_x0000_s1026" style="position:absolute;margin-left:422.05pt;margin-top:-6.05pt;width:473.25pt;height:32.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" filled="f" strokecolor="black [3200]">
                <v:stroke joinstyle="round"/>
                <w10:wrap anchorx="margin"/>
              </v:rect>
            </w:pict>
          </mc:Fallback>
        </mc:AlternateContent>
      </w:r>
      <w:r w:rsidR="005244CB" w:rsidRPr="00473B51">
        <w:rPr>
          <w:rFonts w:ascii="Arial" w:hAnsi="Arial" w:cs="Arial"/>
          <w:color w:val="000000" w:themeColor="text1"/>
          <w:sz w:val="32"/>
          <w:szCs w:val="32"/>
        </w:rPr>
        <w:t>TITRE 2 – LA MISE EN ŒUVRE DU CONTRAT</w:t>
      </w:r>
      <w:bookmarkEnd w:id="28"/>
    </w:p>
    <w:p w14:paraId="498E2C0A" w14:textId="77777777" w:rsidR="005244CB" w:rsidRPr="00473B51" w:rsidRDefault="005244CB" w:rsidP="005244CB">
      <w:pPr>
        <w:rPr>
          <w:rFonts w:cs="Arial"/>
          <w:sz w:val="22"/>
          <w:szCs w:val="22"/>
        </w:rPr>
      </w:pPr>
    </w:p>
    <w:p w14:paraId="4CA6D060" w14:textId="5CF793E9" w:rsidR="00943A7A" w:rsidRPr="003D3D43" w:rsidRDefault="00943A7A" w:rsidP="003D3D43">
      <w:pPr>
        <w:pStyle w:val="Titre2"/>
        <w:jc w:val="both"/>
        <w:rPr>
          <w:rFonts w:ascii="Arial" w:hAnsi="Arial" w:cs="Arial"/>
          <w:b/>
          <w:bCs/>
          <w:sz w:val="24"/>
          <w:szCs w:val="24"/>
          <w:u w:val="single"/>
        </w:rPr>
      </w:pPr>
      <w:bookmarkStart w:id="29" w:name="_Toc69303805"/>
      <w:r w:rsidRPr="003D3D43">
        <w:rPr>
          <w:rFonts w:ascii="Arial" w:hAnsi="Arial" w:cs="Arial"/>
          <w:b/>
          <w:bCs/>
          <w:sz w:val="24"/>
          <w:szCs w:val="24"/>
          <w:u w:val="single"/>
        </w:rPr>
        <w:t xml:space="preserve">Article </w:t>
      </w:r>
      <w:r w:rsidR="002042C6" w:rsidRPr="003D3D43">
        <w:rPr>
          <w:rFonts w:ascii="Arial" w:hAnsi="Arial" w:cs="Arial"/>
          <w:b/>
          <w:bCs/>
          <w:sz w:val="24"/>
          <w:szCs w:val="24"/>
          <w:u w:val="single"/>
        </w:rPr>
        <w:t>1</w:t>
      </w:r>
      <w:r w:rsidR="002042C6" w:rsidRPr="003D3D43">
        <w:rPr>
          <w:rFonts w:ascii="Arial" w:hAnsi="Arial" w:cs="Arial"/>
          <w:b/>
          <w:bCs/>
          <w:sz w:val="24"/>
          <w:szCs w:val="24"/>
        </w:rPr>
        <w:t xml:space="preserve"> </w:t>
      </w:r>
      <w:r w:rsidRPr="003D3D43">
        <w:rPr>
          <w:rFonts w:ascii="Arial" w:hAnsi="Arial" w:cs="Arial"/>
          <w:b/>
          <w:bCs/>
          <w:sz w:val="24"/>
          <w:szCs w:val="24"/>
        </w:rPr>
        <w:t xml:space="preserve">– </w:t>
      </w:r>
      <w:r w:rsidRPr="003D3D43">
        <w:rPr>
          <w:rFonts w:ascii="Arial" w:hAnsi="Arial" w:cs="Arial"/>
          <w:b/>
          <w:bCs/>
          <w:sz w:val="24"/>
          <w:szCs w:val="24"/>
          <w:u w:val="single"/>
        </w:rPr>
        <w:t>Le suivi de l’évaluation du contrat</w:t>
      </w:r>
      <w:bookmarkEnd w:id="29"/>
      <w:r w:rsidRPr="003D3D43">
        <w:rPr>
          <w:rFonts w:ascii="Arial" w:hAnsi="Arial" w:cs="Arial"/>
          <w:b/>
          <w:bCs/>
          <w:sz w:val="24"/>
          <w:szCs w:val="24"/>
          <w:u w:val="single"/>
        </w:rPr>
        <w:t xml:space="preserve"> </w:t>
      </w:r>
    </w:p>
    <w:p w14:paraId="3694C3F3" w14:textId="77777777" w:rsidR="00943A7A" w:rsidRPr="003D3D43" w:rsidRDefault="00943A7A" w:rsidP="003D3D43">
      <w:pPr>
        <w:pStyle w:val="Paragraphedeliste"/>
        <w:ind w:left="0" w:right="-333"/>
        <w:jc w:val="both"/>
        <w:rPr>
          <w:rFonts w:cs="Arial"/>
        </w:rPr>
      </w:pPr>
    </w:p>
    <w:p w14:paraId="042E094A" w14:textId="77777777" w:rsidR="00943A7A" w:rsidRPr="003D3D43" w:rsidRDefault="00943A7A" w:rsidP="003D3D43">
      <w:pPr>
        <w:pStyle w:val="Paragraphedeliste"/>
        <w:autoSpaceDE w:val="0"/>
        <w:autoSpaceDN w:val="0"/>
        <w:adjustRightInd w:val="0"/>
        <w:ind w:left="0"/>
        <w:jc w:val="both"/>
        <w:rPr>
          <w:rFonts w:cs="Arial"/>
          <w:iCs/>
          <w:szCs w:val="24"/>
        </w:rPr>
      </w:pPr>
      <w:r w:rsidRPr="003D3D43">
        <w:rPr>
          <w:rFonts w:cs="Arial"/>
          <w:iCs/>
          <w:szCs w:val="24"/>
        </w:rPr>
        <w:t>Le suivi et l’évaluation du CPOM s’appuieront sur le travail d’un comité de suivi et sur un certain nombre d’outils et de documents à produire.</w:t>
      </w:r>
    </w:p>
    <w:p w14:paraId="7526FE59" w14:textId="77777777" w:rsidR="00943A7A" w:rsidRPr="003D3D43" w:rsidRDefault="00943A7A" w:rsidP="003D3D43">
      <w:pPr>
        <w:pStyle w:val="Paragraphedeliste"/>
        <w:autoSpaceDE w:val="0"/>
        <w:autoSpaceDN w:val="0"/>
        <w:adjustRightInd w:val="0"/>
        <w:ind w:left="0"/>
        <w:jc w:val="both"/>
        <w:rPr>
          <w:rFonts w:cs="Arial"/>
          <w:iCs/>
          <w:szCs w:val="24"/>
        </w:rPr>
      </w:pPr>
    </w:p>
    <w:p w14:paraId="73F88B73" w14:textId="61878390" w:rsidR="00943A7A" w:rsidRPr="003D3D43" w:rsidRDefault="00943A7A" w:rsidP="003D3D43">
      <w:pPr>
        <w:autoSpaceDE w:val="0"/>
        <w:autoSpaceDN w:val="0"/>
        <w:adjustRightInd w:val="0"/>
        <w:jc w:val="both"/>
        <w:rPr>
          <w:rFonts w:cs="Arial"/>
          <w:iCs/>
          <w:szCs w:val="24"/>
        </w:rPr>
      </w:pPr>
      <w:r w:rsidRPr="003D3D43">
        <w:rPr>
          <w:rFonts w:cs="Arial"/>
          <w:iCs/>
          <w:szCs w:val="24"/>
        </w:rPr>
        <w:t>Cet article comprend une description précise des modalités retenues par les parties pour le suivi de l’exécution du contrat : composition du comité de suivi, modalités de réunions du comité, documents transmis en cours de contrat</w:t>
      </w:r>
      <w:r w:rsidR="00473B51" w:rsidRPr="003D3D43">
        <w:rPr>
          <w:rFonts w:cs="Arial"/>
          <w:iCs/>
          <w:szCs w:val="24"/>
        </w:rPr>
        <w:t>.</w:t>
      </w:r>
    </w:p>
    <w:p w14:paraId="210AA301" w14:textId="77777777" w:rsidR="00943A7A" w:rsidRPr="003D3D43" w:rsidRDefault="00943A7A" w:rsidP="003D3D43">
      <w:pPr>
        <w:pStyle w:val="Paragraphedeliste"/>
        <w:autoSpaceDE w:val="0"/>
        <w:autoSpaceDN w:val="0"/>
        <w:adjustRightInd w:val="0"/>
        <w:ind w:left="0"/>
        <w:jc w:val="both"/>
        <w:rPr>
          <w:rFonts w:cs="Arial"/>
          <w:iCs/>
          <w:szCs w:val="24"/>
        </w:rPr>
      </w:pPr>
    </w:p>
    <w:p w14:paraId="301C2A51" w14:textId="77777777" w:rsidR="00943A7A" w:rsidRPr="003D3D43" w:rsidRDefault="00943A7A" w:rsidP="00A33994">
      <w:pPr>
        <w:pStyle w:val="Paragraphedeliste"/>
        <w:numPr>
          <w:ilvl w:val="0"/>
          <w:numId w:val="3"/>
        </w:numPr>
        <w:autoSpaceDE w:val="0"/>
        <w:autoSpaceDN w:val="0"/>
        <w:adjustRightInd w:val="0"/>
        <w:jc w:val="both"/>
        <w:rPr>
          <w:rFonts w:cs="Arial"/>
          <w:bCs/>
          <w:iCs/>
          <w:szCs w:val="24"/>
        </w:rPr>
      </w:pPr>
      <w:r w:rsidRPr="003D3D43">
        <w:rPr>
          <w:rFonts w:cs="Arial"/>
          <w:bCs/>
          <w:iCs/>
          <w:szCs w:val="24"/>
        </w:rPr>
        <w:t xml:space="preserve">La composition du comité de suivi : </w:t>
      </w:r>
    </w:p>
    <w:p w14:paraId="75437B96" w14:textId="460EAD92" w:rsidR="00182862" w:rsidRPr="003D3D43" w:rsidRDefault="00182862" w:rsidP="00A33994">
      <w:pPr>
        <w:pStyle w:val="Paragraphedeliste"/>
        <w:numPr>
          <w:ilvl w:val="0"/>
          <w:numId w:val="2"/>
        </w:numPr>
        <w:autoSpaceDE w:val="0"/>
        <w:autoSpaceDN w:val="0"/>
        <w:adjustRightInd w:val="0"/>
        <w:ind w:hanging="11"/>
        <w:jc w:val="both"/>
        <w:rPr>
          <w:rFonts w:cs="Arial"/>
          <w:szCs w:val="24"/>
        </w:rPr>
      </w:pPr>
      <w:r w:rsidRPr="003D3D43">
        <w:rPr>
          <w:rFonts w:cs="Arial"/>
          <w:szCs w:val="24"/>
        </w:rPr>
        <w:t xml:space="preserve">Agence régionale de santé : </w:t>
      </w:r>
      <w:r w:rsidR="00730E8F" w:rsidRPr="003D3D43">
        <w:rPr>
          <w:rFonts w:cs="Arial"/>
          <w:szCs w:val="24"/>
        </w:rPr>
        <w:t>L</w:t>
      </w:r>
      <w:r w:rsidRPr="003D3D43">
        <w:rPr>
          <w:rFonts w:cs="Arial"/>
          <w:szCs w:val="24"/>
        </w:rPr>
        <w:t>e directeur du médico-social ou son représentant</w:t>
      </w:r>
    </w:p>
    <w:p w14:paraId="0D3A2383" w14:textId="58A3CDB2" w:rsidR="00943A7A" w:rsidRPr="003D3D43" w:rsidRDefault="00943A7A" w:rsidP="00A33994">
      <w:pPr>
        <w:pStyle w:val="Paragraphedeliste"/>
        <w:numPr>
          <w:ilvl w:val="0"/>
          <w:numId w:val="2"/>
        </w:numPr>
        <w:autoSpaceDE w:val="0"/>
        <w:autoSpaceDN w:val="0"/>
        <w:adjustRightInd w:val="0"/>
        <w:ind w:hanging="11"/>
        <w:jc w:val="both"/>
        <w:rPr>
          <w:rFonts w:cs="Arial"/>
          <w:szCs w:val="24"/>
        </w:rPr>
      </w:pPr>
      <w:r w:rsidRPr="003D3D43">
        <w:rPr>
          <w:rFonts w:cs="Arial"/>
          <w:szCs w:val="24"/>
        </w:rPr>
        <w:t>Collectivité de Corse</w:t>
      </w:r>
      <w:r w:rsidRPr="003D3D43">
        <w:rPr>
          <w:rFonts w:cs="Arial"/>
          <w:color w:val="FF0000"/>
          <w:szCs w:val="24"/>
        </w:rPr>
        <w:t> </w:t>
      </w:r>
      <w:r w:rsidRPr="003D3D43">
        <w:rPr>
          <w:rFonts w:cs="Arial"/>
          <w:szCs w:val="24"/>
        </w:rPr>
        <w:t>: Le responsable du Suivi des ESMS ou son représentant</w:t>
      </w:r>
    </w:p>
    <w:p w14:paraId="2E0298AF" w14:textId="7F280A9B" w:rsidR="00943A7A" w:rsidRPr="003D3D43" w:rsidRDefault="00943A7A" w:rsidP="00A33994">
      <w:pPr>
        <w:pStyle w:val="Paragraphedeliste"/>
        <w:numPr>
          <w:ilvl w:val="0"/>
          <w:numId w:val="2"/>
        </w:numPr>
        <w:autoSpaceDE w:val="0"/>
        <w:autoSpaceDN w:val="0"/>
        <w:adjustRightInd w:val="0"/>
        <w:ind w:hanging="11"/>
        <w:jc w:val="both"/>
        <w:rPr>
          <w:rFonts w:cs="Arial"/>
          <w:szCs w:val="24"/>
        </w:rPr>
      </w:pPr>
      <w:r w:rsidRPr="003D3D43">
        <w:rPr>
          <w:rFonts w:cs="Arial"/>
          <w:szCs w:val="24"/>
        </w:rPr>
        <w:t xml:space="preserve">Organisme gestionnaire : Le </w:t>
      </w:r>
      <w:r w:rsidR="00730E8F" w:rsidRPr="003D3D43">
        <w:rPr>
          <w:rFonts w:cs="Arial"/>
          <w:szCs w:val="24"/>
        </w:rPr>
        <w:t>p</w:t>
      </w:r>
      <w:r w:rsidRPr="003D3D43">
        <w:rPr>
          <w:rFonts w:cs="Arial"/>
          <w:szCs w:val="24"/>
        </w:rPr>
        <w:t>résident ou son représentant</w:t>
      </w:r>
    </w:p>
    <w:p w14:paraId="34A84C3D" w14:textId="30C0817B" w:rsidR="00943A7A" w:rsidRPr="003D3D43" w:rsidRDefault="00943A7A" w:rsidP="00A33994">
      <w:pPr>
        <w:pStyle w:val="Paragraphedeliste"/>
        <w:numPr>
          <w:ilvl w:val="0"/>
          <w:numId w:val="2"/>
        </w:numPr>
        <w:autoSpaceDE w:val="0"/>
        <w:autoSpaceDN w:val="0"/>
        <w:adjustRightInd w:val="0"/>
        <w:ind w:hanging="11"/>
        <w:jc w:val="both"/>
        <w:rPr>
          <w:rFonts w:cs="Arial"/>
          <w:szCs w:val="24"/>
        </w:rPr>
      </w:pPr>
      <w:r w:rsidRPr="003D3D43">
        <w:rPr>
          <w:rFonts w:cs="Arial"/>
          <w:szCs w:val="24"/>
        </w:rPr>
        <w:t xml:space="preserve">Etablissement : Le </w:t>
      </w:r>
      <w:r w:rsidR="00730E8F" w:rsidRPr="003D3D43">
        <w:rPr>
          <w:rFonts w:cs="Arial"/>
          <w:szCs w:val="24"/>
        </w:rPr>
        <w:t>d</w:t>
      </w:r>
      <w:r w:rsidRPr="003D3D43">
        <w:rPr>
          <w:rFonts w:cs="Arial"/>
          <w:szCs w:val="24"/>
        </w:rPr>
        <w:t>irecteur ou son représentant</w:t>
      </w:r>
    </w:p>
    <w:p w14:paraId="378191C2" w14:textId="77777777" w:rsidR="00943A7A" w:rsidRPr="003D3D43" w:rsidRDefault="00943A7A" w:rsidP="00A33994">
      <w:pPr>
        <w:pStyle w:val="Paragraphedeliste"/>
        <w:numPr>
          <w:ilvl w:val="0"/>
          <w:numId w:val="2"/>
        </w:numPr>
        <w:autoSpaceDE w:val="0"/>
        <w:autoSpaceDN w:val="0"/>
        <w:adjustRightInd w:val="0"/>
        <w:ind w:hanging="11"/>
        <w:jc w:val="both"/>
        <w:rPr>
          <w:rFonts w:cs="Arial"/>
          <w:szCs w:val="24"/>
        </w:rPr>
      </w:pPr>
      <w:r w:rsidRPr="003D3D43">
        <w:rPr>
          <w:rFonts w:cs="Arial"/>
          <w:szCs w:val="24"/>
        </w:rPr>
        <w:t>Le cas échéant, autres partenaires : à préciser</w:t>
      </w:r>
    </w:p>
    <w:p w14:paraId="00C191E7" w14:textId="77777777" w:rsidR="00943A7A" w:rsidRPr="003D3D43" w:rsidRDefault="00943A7A" w:rsidP="003D3D43">
      <w:pPr>
        <w:pStyle w:val="Paragraphedeliste"/>
        <w:autoSpaceDE w:val="0"/>
        <w:autoSpaceDN w:val="0"/>
        <w:adjustRightInd w:val="0"/>
        <w:jc w:val="both"/>
        <w:rPr>
          <w:rFonts w:cs="Arial"/>
          <w:i/>
          <w:iCs/>
          <w:szCs w:val="24"/>
        </w:rPr>
      </w:pPr>
    </w:p>
    <w:p w14:paraId="7CFC899B" w14:textId="54AED938" w:rsidR="00943A7A" w:rsidRPr="003D3D43" w:rsidRDefault="00943A7A" w:rsidP="003D3D43">
      <w:pPr>
        <w:autoSpaceDE w:val="0"/>
        <w:autoSpaceDN w:val="0"/>
        <w:adjustRightInd w:val="0"/>
        <w:jc w:val="both"/>
        <w:rPr>
          <w:rFonts w:cs="Arial"/>
          <w:iCs/>
          <w:szCs w:val="24"/>
        </w:rPr>
      </w:pPr>
      <w:r w:rsidRPr="003D3D43">
        <w:rPr>
          <w:rFonts w:cs="Arial"/>
          <w:iCs/>
          <w:szCs w:val="24"/>
        </w:rPr>
        <w:t>Chacun s’adjoint la collaboration de personnels spécifiques en fonction des besoins.</w:t>
      </w:r>
    </w:p>
    <w:p w14:paraId="7F380371" w14:textId="6538BD3E" w:rsidR="00943A7A" w:rsidRPr="003D3D43" w:rsidRDefault="005353E8" w:rsidP="003D3D43">
      <w:pPr>
        <w:autoSpaceDE w:val="0"/>
        <w:autoSpaceDN w:val="0"/>
        <w:adjustRightInd w:val="0"/>
        <w:jc w:val="both"/>
        <w:rPr>
          <w:rFonts w:cs="Arial"/>
          <w:iCs/>
          <w:szCs w:val="24"/>
        </w:rPr>
      </w:pPr>
      <w:r w:rsidRPr="003D3D43">
        <w:rPr>
          <w:rFonts w:cs="Arial"/>
          <w:iCs/>
          <w:szCs w:val="24"/>
        </w:rPr>
        <w:t>C</w:t>
      </w:r>
      <w:r w:rsidR="00943A7A" w:rsidRPr="003D3D43">
        <w:rPr>
          <w:rFonts w:cs="Arial"/>
          <w:iCs/>
          <w:szCs w:val="24"/>
        </w:rPr>
        <w:t>e comité de suivi est chargé de s’assurer de la bonne exécution du contrat.</w:t>
      </w:r>
    </w:p>
    <w:p w14:paraId="22E8FF83" w14:textId="77777777" w:rsidR="00943A7A" w:rsidRPr="003D3D43" w:rsidRDefault="00943A7A" w:rsidP="003D3D43">
      <w:pPr>
        <w:pStyle w:val="Paragraphedeliste"/>
        <w:autoSpaceDE w:val="0"/>
        <w:autoSpaceDN w:val="0"/>
        <w:adjustRightInd w:val="0"/>
        <w:jc w:val="both"/>
        <w:rPr>
          <w:rFonts w:cs="Arial"/>
          <w:iCs/>
          <w:szCs w:val="24"/>
        </w:rPr>
      </w:pPr>
    </w:p>
    <w:p w14:paraId="5F9F08FF" w14:textId="47FFF69A" w:rsidR="00943A7A" w:rsidRPr="003D3D43" w:rsidRDefault="00943A7A" w:rsidP="00A33994">
      <w:pPr>
        <w:pStyle w:val="Paragraphedeliste"/>
        <w:numPr>
          <w:ilvl w:val="0"/>
          <w:numId w:val="3"/>
        </w:numPr>
        <w:autoSpaceDE w:val="0"/>
        <w:autoSpaceDN w:val="0"/>
        <w:adjustRightInd w:val="0"/>
        <w:jc w:val="both"/>
        <w:rPr>
          <w:rFonts w:cs="Arial"/>
          <w:bCs/>
          <w:iCs/>
          <w:szCs w:val="24"/>
        </w:rPr>
      </w:pPr>
      <w:r w:rsidRPr="003D3D43">
        <w:rPr>
          <w:rFonts w:cs="Arial"/>
          <w:bCs/>
          <w:iCs/>
          <w:szCs w:val="24"/>
        </w:rPr>
        <w:t>Documents à produire</w:t>
      </w:r>
      <w:r w:rsidR="005353E8" w:rsidRPr="003D3D43">
        <w:rPr>
          <w:rFonts w:cs="Arial"/>
          <w:bCs/>
          <w:iCs/>
          <w:szCs w:val="24"/>
        </w:rPr>
        <w:t xml:space="preserve"> lors des réunions du comité de suivi</w:t>
      </w:r>
      <w:r w:rsidRPr="003D3D43">
        <w:rPr>
          <w:rFonts w:cs="Arial"/>
          <w:bCs/>
          <w:iCs/>
          <w:szCs w:val="24"/>
        </w:rPr>
        <w:t xml:space="preserve"> :</w:t>
      </w:r>
    </w:p>
    <w:p w14:paraId="0AA25A84" w14:textId="644E4C1A" w:rsidR="00943A7A" w:rsidRPr="003D3D43" w:rsidRDefault="00376A1B" w:rsidP="00A33994">
      <w:pPr>
        <w:pStyle w:val="Paragraphedeliste"/>
        <w:numPr>
          <w:ilvl w:val="0"/>
          <w:numId w:val="10"/>
        </w:numPr>
        <w:autoSpaceDE w:val="0"/>
        <w:autoSpaceDN w:val="0"/>
        <w:adjustRightInd w:val="0"/>
        <w:jc w:val="both"/>
        <w:rPr>
          <w:rFonts w:cs="Arial"/>
          <w:szCs w:val="24"/>
        </w:rPr>
      </w:pPr>
      <w:r w:rsidRPr="003D3D43">
        <w:rPr>
          <w:rFonts w:cs="Arial"/>
          <w:szCs w:val="24"/>
        </w:rPr>
        <w:t>D</w:t>
      </w:r>
      <w:r w:rsidR="00943A7A" w:rsidRPr="003D3D43">
        <w:rPr>
          <w:rFonts w:cs="Arial"/>
          <w:szCs w:val="24"/>
        </w:rPr>
        <w:t>ocuments budgétaires et comptables</w:t>
      </w:r>
    </w:p>
    <w:p w14:paraId="117729D6" w14:textId="4BCB3AAE" w:rsidR="00943A7A" w:rsidRPr="003D3D43" w:rsidRDefault="00943A7A" w:rsidP="00A33994">
      <w:pPr>
        <w:pStyle w:val="Paragraphedeliste"/>
        <w:numPr>
          <w:ilvl w:val="0"/>
          <w:numId w:val="10"/>
        </w:numPr>
        <w:autoSpaceDE w:val="0"/>
        <w:autoSpaceDN w:val="0"/>
        <w:adjustRightInd w:val="0"/>
        <w:jc w:val="both"/>
        <w:rPr>
          <w:rFonts w:cs="Arial"/>
          <w:szCs w:val="24"/>
        </w:rPr>
      </w:pPr>
      <w:r w:rsidRPr="003D3D43">
        <w:rPr>
          <w:rFonts w:cs="Arial"/>
          <w:szCs w:val="24"/>
        </w:rPr>
        <w:t>Evaluations</w:t>
      </w:r>
    </w:p>
    <w:p w14:paraId="4E96F130" w14:textId="0B05EE56" w:rsidR="00EB5FE1" w:rsidRPr="003D3D43" w:rsidRDefault="00EB5FE1" w:rsidP="00A33994">
      <w:pPr>
        <w:pStyle w:val="Paragraphedeliste"/>
        <w:numPr>
          <w:ilvl w:val="0"/>
          <w:numId w:val="10"/>
        </w:numPr>
        <w:autoSpaceDE w:val="0"/>
        <w:autoSpaceDN w:val="0"/>
        <w:adjustRightInd w:val="0"/>
        <w:jc w:val="both"/>
        <w:rPr>
          <w:rFonts w:cs="Arial"/>
          <w:szCs w:val="24"/>
        </w:rPr>
      </w:pPr>
      <w:r w:rsidRPr="003D3D43">
        <w:rPr>
          <w:rFonts w:cs="Arial"/>
          <w:szCs w:val="24"/>
        </w:rPr>
        <w:t xml:space="preserve">Revue des objectifs </w:t>
      </w:r>
      <w:r w:rsidR="00CE353E" w:rsidRPr="003D3D43">
        <w:rPr>
          <w:rFonts w:cs="Arial"/>
          <w:szCs w:val="24"/>
        </w:rPr>
        <w:t>et des actions fixés au</w:t>
      </w:r>
      <w:r w:rsidRPr="003D3D43">
        <w:rPr>
          <w:rFonts w:cs="Arial"/>
          <w:szCs w:val="24"/>
        </w:rPr>
        <w:t xml:space="preserve"> CPOM (</w:t>
      </w:r>
      <w:r w:rsidRPr="003D3D43">
        <w:rPr>
          <w:rFonts w:cs="Arial"/>
          <w:b/>
          <w:bCs/>
          <w:szCs w:val="24"/>
        </w:rPr>
        <w:t>annexe</w:t>
      </w:r>
      <w:r w:rsidR="00376A1B" w:rsidRPr="003D3D43">
        <w:rPr>
          <w:rFonts w:cs="Arial"/>
          <w:b/>
          <w:bCs/>
          <w:szCs w:val="24"/>
        </w:rPr>
        <w:t>s</w:t>
      </w:r>
      <w:r w:rsidRPr="003D3D43">
        <w:rPr>
          <w:rFonts w:cs="Arial"/>
          <w:b/>
          <w:bCs/>
          <w:szCs w:val="24"/>
        </w:rPr>
        <w:t xml:space="preserve"> 3</w:t>
      </w:r>
      <w:r w:rsidR="00376A1B" w:rsidRPr="003D3D43">
        <w:rPr>
          <w:rFonts w:cs="Arial"/>
          <w:b/>
          <w:bCs/>
          <w:szCs w:val="24"/>
        </w:rPr>
        <w:t xml:space="preserve"> et 4</w:t>
      </w:r>
      <w:r w:rsidRPr="003D3D43">
        <w:rPr>
          <w:rFonts w:cs="Arial"/>
          <w:szCs w:val="24"/>
        </w:rPr>
        <w:t>)</w:t>
      </w:r>
    </w:p>
    <w:p w14:paraId="238CACD8" w14:textId="54E6271E" w:rsidR="00943A7A" w:rsidRPr="003D3D43" w:rsidRDefault="00943A7A" w:rsidP="00A33994">
      <w:pPr>
        <w:pStyle w:val="Paragraphedeliste"/>
        <w:numPr>
          <w:ilvl w:val="0"/>
          <w:numId w:val="10"/>
        </w:numPr>
        <w:autoSpaceDE w:val="0"/>
        <w:autoSpaceDN w:val="0"/>
        <w:adjustRightInd w:val="0"/>
        <w:jc w:val="both"/>
        <w:rPr>
          <w:rFonts w:cs="Arial"/>
          <w:szCs w:val="24"/>
        </w:rPr>
      </w:pPr>
      <w:r w:rsidRPr="003D3D43">
        <w:rPr>
          <w:rFonts w:cs="Arial"/>
          <w:szCs w:val="24"/>
        </w:rPr>
        <w:t>Données du tableau de bord de la performance</w:t>
      </w:r>
    </w:p>
    <w:p w14:paraId="1C778F21" w14:textId="77777777" w:rsidR="003156D1" w:rsidRPr="003D3D43" w:rsidRDefault="003156D1" w:rsidP="003D3D43">
      <w:pPr>
        <w:pStyle w:val="Paragraphedeliste"/>
        <w:autoSpaceDE w:val="0"/>
        <w:autoSpaceDN w:val="0"/>
        <w:adjustRightInd w:val="0"/>
        <w:jc w:val="both"/>
        <w:rPr>
          <w:rFonts w:cs="Arial"/>
          <w:i/>
          <w:iCs/>
          <w:szCs w:val="24"/>
        </w:rPr>
      </w:pPr>
    </w:p>
    <w:p w14:paraId="3479200A" w14:textId="79BFB527" w:rsidR="003156D1" w:rsidRPr="003D3D43" w:rsidRDefault="003156D1" w:rsidP="003D3D43">
      <w:pPr>
        <w:pStyle w:val="Sansinterligne"/>
        <w:jc w:val="both"/>
        <w:rPr>
          <w:rFonts w:cs="Arial"/>
        </w:rPr>
      </w:pPr>
      <w:r w:rsidRPr="003D3D43">
        <w:rPr>
          <w:rFonts w:cs="Arial"/>
        </w:rPr>
        <w:t>Dans le cadre du dépôt de l’ERRD, le gestionnaire veillera par ailleurs à transmettre à la Collectivité de Corse les informations suivantes :</w:t>
      </w:r>
    </w:p>
    <w:p w14:paraId="25CEF31B" w14:textId="4DA5D53C" w:rsidR="003156D1" w:rsidRPr="003D3D43" w:rsidRDefault="003156D1" w:rsidP="00A33994">
      <w:pPr>
        <w:pStyle w:val="Sansinterligne"/>
        <w:numPr>
          <w:ilvl w:val="0"/>
          <w:numId w:val="9"/>
        </w:numPr>
        <w:jc w:val="both"/>
        <w:rPr>
          <w:rFonts w:cs="Arial"/>
        </w:rPr>
      </w:pPr>
      <w:r w:rsidRPr="003D3D43">
        <w:rPr>
          <w:rFonts w:cs="Arial"/>
        </w:rPr>
        <w:t>« Indicateurs de coûts » : agrégats financiers (coût à la place immobilier/mobilier et coût à la place hors immobilier/mobilier) ;</w:t>
      </w:r>
    </w:p>
    <w:p w14:paraId="0F5113A0" w14:textId="0278FF9D" w:rsidR="003156D1" w:rsidRPr="003D3D43" w:rsidRDefault="003156D1" w:rsidP="00A33994">
      <w:pPr>
        <w:pStyle w:val="Sansinterligne"/>
        <w:numPr>
          <w:ilvl w:val="0"/>
          <w:numId w:val="9"/>
        </w:numPr>
        <w:jc w:val="both"/>
        <w:rPr>
          <w:rFonts w:cs="Arial"/>
        </w:rPr>
      </w:pPr>
      <w:r w:rsidRPr="003D3D43">
        <w:rPr>
          <w:rFonts w:cs="Arial"/>
        </w:rPr>
        <w:t>« Indicateurs de gestion » : coût de blanchissage, coût de restauration et taux d’absentéisme ;</w:t>
      </w:r>
    </w:p>
    <w:p w14:paraId="18EF680F" w14:textId="5C2ED306" w:rsidR="00063C21" w:rsidRPr="003D3D43" w:rsidRDefault="003156D1" w:rsidP="00A33994">
      <w:pPr>
        <w:pStyle w:val="Sansinterligne"/>
        <w:numPr>
          <w:ilvl w:val="0"/>
          <w:numId w:val="9"/>
        </w:numPr>
        <w:jc w:val="both"/>
        <w:rPr>
          <w:rFonts w:cs="Arial"/>
        </w:rPr>
      </w:pPr>
      <w:r w:rsidRPr="003D3D43">
        <w:rPr>
          <w:rFonts w:cs="Arial"/>
        </w:rPr>
        <w:t>Détail des « recettes atténuatives par nature ».</w:t>
      </w:r>
    </w:p>
    <w:p w14:paraId="4639BAF7" w14:textId="77777777" w:rsidR="003156D1" w:rsidRPr="003D3D43" w:rsidRDefault="003156D1" w:rsidP="003D3D43">
      <w:pPr>
        <w:pStyle w:val="Sansinterligne"/>
        <w:jc w:val="both"/>
        <w:rPr>
          <w:rFonts w:cs="Arial"/>
        </w:rPr>
      </w:pPr>
    </w:p>
    <w:p w14:paraId="524E8904" w14:textId="4927C615" w:rsidR="005353E8" w:rsidRPr="003D3D43" w:rsidRDefault="003156D1" w:rsidP="003D3D43">
      <w:pPr>
        <w:autoSpaceDE w:val="0"/>
        <w:autoSpaceDN w:val="0"/>
        <w:adjustRightInd w:val="0"/>
        <w:jc w:val="both"/>
        <w:rPr>
          <w:rFonts w:cs="Arial"/>
          <w:szCs w:val="24"/>
        </w:rPr>
      </w:pPr>
      <w:r w:rsidRPr="003D3D43">
        <w:rPr>
          <w:rFonts w:cs="Arial"/>
          <w:szCs w:val="24"/>
        </w:rPr>
        <w:t xml:space="preserve">Le bilan et le compte de résultat détaillé - tant consolidés </w:t>
      </w:r>
      <w:r w:rsidR="00376A1B" w:rsidRPr="003D3D43">
        <w:rPr>
          <w:rFonts w:cs="Arial"/>
          <w:szCs w:val="24"/>
        </w:rPr>
        <w:t>du</w:t>
      </w:r>
      <w:r w:rsidRPr="003D3D43">
        <w:rPr>
          <w:rFonts w:cs="Arial"/>
          <w:szCs w:val="24"/>
        </w:rPr>
        <w:t xml:space="preserve"> gestionnaire que propres à l’établissement - sont ainsi demandés lors de la transmission de l’ERRD, ainsi que la balance générale des comptes de l’établissement et les rapports (général et spécial) du commissaire aux comptes.</w:t>
      </w:r>
    </w:p>
    <w:p w14:paraId="49A54055" w14:textId="77777777" w:rsidR="00943A7A" w:rsidRPr="003D3D43" w:rsidRDefault="00943A7A" w:rsidP="003D3D43">
      <w:pPr>
        <w:pStyle w:val="Sansinterligne"/>
        <w:jc w:val="both"/>
        <w:rPr>
          <w:rFonts w:cs="Arial"/>
        </w:rPr>
      </w:pPr>
    </w:p>
    <w:p w14:paraId="51CB6D1F" w14:textId="00CA6B03" w:rsidR="00943A7A" w:rsidRPr="003D3D43" w:rsidRDefault="00943A7A" w:rsidP="00A33994">
      <w:pPr>
        <w:pStyle w:val="Paragraphedeliste"/>
        <w:numPr>
          <w:ilvl w:val="0"/>
          <w:numId w:val="3"/>
        </w:numPr>
        <w:autoSpaceDE w:val="0"/>
        <w:autoSpaceDN w:val="0"/>
        <w:adjustRightInd w:val="0"/>
        <w:jc w:val="both"/>
        <w:rPr>
          <w:rFonts w:cs="Arial"/>
          <w:b/>
          <w:iCs/>
          <w:szCs w:val="24"/>
        </w:rPr>
      </w:pPr>
      <w:r w:rsidRPr="003D3D43">
        <w:rPr>
          <w:rFonts w:cs="Arial"/>
          <w:bCs/>
          <w:iCs/>
          <w:szCs w:val="24"/>
        </w:rPr>
        <w:t>Dialogues de gestion</w:t>
      </w:r>
      <w:r w:rsidRPr="003D3D43">
        <w:rPr>
          <w:rFonts w:cs="Arial"/>
          <w:b/>
          <w:iCs/>
          <w:szCs w:val="24"/>
        </w:rPr>
        <w:t xml:space="preserve"> :</w:t>
      </w:r>
    </w:p>
    <w:p w14:paraId="434C7C91" w14:textId="6230F104" w:rsidR="00943A7A" w:rsidRPr="003D3D43" w:rsidRDefault="00943A7A" w:rsidP="003D3D43">
      <w:pPr>
        <w:autoSpaceDE w:val="0"/>
        <w:autoSpaceDN w:val="0"/>
        <w:adjustRightInd w:val="0"/>
        <w:jc w:val="both"/>
        <w:rPr>
          <w:rFonts w:cs="Arial"/>
          <w:iCs/>
          <w:szCs w:val="24"/>
        </w:rPr>
      </w:pPr>
      <w:r w:rsidRPr="003D3D43">
        <w:rPr>
          <w:rFonts w:cs="Arial"/>
          <w:iCs/>
          <w:szCs w:val="24"/>
        </w:rPr>
        <w:t>Le comité de suivi se réunira à deux reprises au cours du contrat :</w:t>
      </w:r>
    </w:p>
    <w:p w14:paraId="2EFB4F4C" w14:textId="7670D890" w:rsidR="00943A7A" w:rsidRPr="003D3D43" w:rsidRDefault="005C142B" w:rsidP="00A33994">
      <w:pPr>
        <w:pStyle w:val="Paragraphedeliste"/>
        <w:numPr>
          <w:ilvl w:val="0"/>
          <w:numId w:val="11"/>
        </w:numPr>
        <w:autoSpaceDE w:val="0"/>
        <w:autoSpaceDN w:val="0"/>
        <w:adjustRightInd w:val="0"/>
        <w:jc w:val="both"/>
        <w:rPr>
          <w:rFonts w:cs="Arial"/>
          <w:iCs/>
          <w:szCs w:val="24"/>
        </w:rPr>
      </w:pPr>
      <w:r w:rsidRPr="003D3D43">
        <w:rPr>
          <w:rFonts w:cs="Arial"/>
          <w:iCs/>
          <w:szCs w:val="24"/>
        </w:rPr>
        <w:t xml:space="preserve">Entre la deuxième et </w:t>
      </w:r>
      <w:r w:rsidR="00943A7A" w:rsidRPr="003D3D43">
        <w:rPr>
          <w:rFonts w:cs="Arial"/>
          <w:iCs/>
          <w:szCs w:val="24"/>
        </w:rPr>
        <w:t>la troisième année</w:t>
      </w:r>
      <w:r w:rsidRPr="003D3D43">
        <w:rPr>
          <w:rFonts w:cs="Arial"/>
          <w:iCs/>
          <w:szCs w:val="24"/>
        </w:rPr>
        <w:t xml:space="preserve"> du contrat</w:t>
      </w:r>
      <w:r w:rsidR="00943A7A" w:rsidRPr="003D3D43">
        <w:rPr>
          <w:rFonts w:cs="Arial"/>
          <w:iCs/>
          <w:szCs w:val="24"/>
        </w:rPr>
        <w:t xml:space="preserve"> pour un point à mi-parcours</w:t>
      </w:r>
      <w:r w:rsidR="005353E8" w:rsidRPr="003D3D43">
        <w:rPr>
          <w:rFonts w:cs="Arial"/>
          <w:iCs/>
          <w:szCs w:val="24"/>
        </w:rPr>
        <w:t> ;</w:t>
      </w:r>
    </w:p>
    <w:p w14:paraId="6A6A5444" w14:textId="65E9744B" w:rsidR="00943A7A" w:rsidRPr="003D3D43" w:rsidRDefault="005353E8" w:rsidP="00A33994">
      <w:pPr>
        <w:pStyle w:val="Paragraphedeliste"/>
        <w:numPr>
          <w:ilvl w:val="0"/>
          <w:numId w:val="11"/>
        </w:numPr>
        <w:autoSpaceDE w:val="0"/>
        <w:autoSpaceDN w:val="0"/>
        <w:adjustRightInd w:val="0"/>
        <w:jc w:val="both"/>
        <w:rPr>
          <w:rFonts w:cs="Arial"/>
          <w:iCs/>
          <w:szCs w:val="24"/>
        </w:rPr>
      </w:pPr>
      <w:r w:rsidRPr="003D3D43">
        <w:rPr>
          <w:rFonts w:cs="Arial"/>
          <w:szCs w:val="24"/>
        </w:rPr>
        <w:t>A</w:t>
      </w:r>
      <w:r w:rsidR="00943A7A" w:rsidRPr="003D3D43">
        <w:rPr>
          <w:rFonts w:cs="Arial"/>
          <w:iCs/>
          <w:szCs w:val="24"/>
        </w:rPr>
        <w:t xml:space="preserve">u cours de la </w:t>
      </w:r>
      <w:r w:rsidR="00A236B4" w:rsidRPr="003D3D43">
        <w:rPr>
          <w:rFonts w:cs="Arial"/>
          <w:iCs/>
          <w:szCs w:val="24"/>
        </w:rPr>
        <w:t>quatrième</w:t>
      </w:r>
      <w:r w:rsidR="00943A7A" w:rsidRPr="003D3D43">
        <w:rPr>
          <w:rFonts w:cs="Arial"/>
          <w:iCs/>
          <w:szCs w:val="24"/>
        </w:rPr>
        <w:t xml:space="preserve"> année du </w:t>
      </w:r>
      <w:r w:rsidR="00AE1254" w:rsidRPr="003D3D43">
        <w:rPr>
          <w:rFonts w:cs="Arial"/>
          <w:iCs/>
          <w:szCs w:val="24"/>
        </w:rPr>
        <w:t>contrat, pour</w:t>
      </w:r>
      <w:r w:rsidR="00943A7A" w:rsidRPr="003D3D43">
        <w:rPr>
          <w:rFonts w:cs="Arial"/>
          <w:iCs/>
          <w:szCs w:val="24"/>
        </w:rPr>
        <w:t xml:space="preserve"> un bilan final et la préparation du nouveau contrat</w:t>
      </w:r>
      <w:r w:rsidR="00063C21" w:rsidRPr="003D3D43">
        <w:rPr>
          <w:rFonts w:cs="Arial"/>
          <w:iCs/>
          <w:szCs w:val="24"/>
        </w:rPr>
        <w:t>.</w:t>
      </w:r>
      <w:r w:rsidR="00943A7A" w:rsidRPr="003D3D43">
        <w:rPr>
          <w:rFonts w:cs="Arial"/>
          <w:iCs/>
          <w:szCs w:val="24"/>
        </w:rPr>
        <w:t xml:space="preserve"> </w:t>
      </w:r>
    </w:p>
    <w:p w14:paraId="334606AD" w14:textId="77777777" w:rsidR="00943A7A" w:rsidRPr="003D3D43" w:rsidRDefault="00943A7A" w:rsidP="003D3D43">
      <w:pPr>
        <w:autoSpaceDE w:val="0"/>
        <w:autoSpaceDN w:val="0"/>
        <w:adjustRightInd w:val="0"/>
        <w:jc w:val="both"/>
        <w:rPr>
          <w:rFonts w:cs="Arial"/>
          <w:iCs/>
          <w:szCs w:val="24"/>
        </w:rPr>
      </w:pPr>
    </w:p>
    <w:p w14:paraId="48FD63E5" w14:textId="2FD9660C" w:rsidR="005C142B" w:rsidRPr="003D3D43" w:rsidRDefault="00943A7A" w:rsidP="003D3D43">
      <w:pPr>
        <w:autoSpaceDE w:val="0"/>
        <w:autoSpaceDN w:val="0"/>
        <w:adjustRightInd w:val="0"/>
        <w:jc w:val="both"/>
        <w:rPr>
          <w:rFonts w:cs="Arial"/>
          <w:iCs/>
          <w:szCs w:val="24"/>
        </w:rPr>
      </w:pPr>
      <w:r w:rsidRPr="003D3D43">
        <w:rPr>
          <w:rFonts w:cs="Arial"/>
          <w:iCs/>
          <w:szCs w:val="24"/>
        </w:rPr>
        <w:t xml:space="preserve">- </w:t>
      </w:r>
      <w:r w:rsidRPr="003D3D43">
        <w:rPr>
          <w:rFonts w:cs="Arial"/>
          <w:iCs/>
          <w:szCs w:val="24"/>
          <w:u w:val="single"/>
        </w:rPr>
        <w:t>Option</w:t>
      </w:r>
      <w:r w:rsidRPr="003D3D43">
        <w:rPr>
          <w:rFonts w:cs="Arial"/>
          <w:iCs/>
          <w:szCs w:val="24"/>
        </w:rPr>
        <w:t xml:space="preserve"> : </w:t>
      </w:r>
      <w:r w:rsidR="007224B2">
        <w:rPr>
          <w:rFonts w:cs="Arial"/>
          <w:iCs/>
          <w:szCs w:val="24"/>
        </w:rPr>
        <w:t>L’Agence</w:t>
      </w:r>
      <w:r w:rsidRPr="003D3D43">
        <w:rPr>
          <w:rFonts w:cs="Arial"/>
          <w:iCs/>
          <w:szCs w:val="24"/>
        </w:rPr>
        <w:t xml:space="preserve"> </w:t>
      </w:r>
      <w:r w:rsidR="00063C21" w:rsidRPr="003D3D43">
        <w:rPr>
          <w:rFonts w:cs="Arial"/>
          <w:iCs/>
          <w:szCs w:val="24"/>
        </w:rPr>
        <w:t>R</w:t>
      </w:r>
      <w:r w:rsidRPr="003D3D43">
        <w:rPr>
          <w:rFonts w:cs="Arial"/>
          <w:iCs/>
          <w:szCs w:val="24"/>
        </w:rPr>
        <w:t xml:space="preserve">égionale de </w:t>
      </w:r>
      <w:r w:rsidR="00063C21" w:rsidRPr="003D3D43">
        <w:rPr>
          <w:rFonts w:cs="Arial"/>
          <w:iCs/>
          <w:szCs w:val="24"/>
        </w:rPr>
        <w:t>S</w:t>
      </w:r>
      <w:r w:rsidRPr="003D3D43">
        <w:rPr>
          <w:rFonts w:cs="Arial"/>
          <w:iCs/>
          <w:szCs w:val="24"/>
        </w:rPr>
        <w:t xml:space="preserve">anté </w:t>
      </w:r>
      <w:r w:rsidR="007224B2">
        <w:rPr>
          <w:rFonts w:cs="Arial"/>
          <w:iCs/>
          <w:szCs w:val="24"/>
        </w:rPr>
        <w:t xml:space="preserve">ou la CdC </w:t>
      </w:r>
      <w:r w:rsidRPr="003D3D43">
        <w:rPr>
          <w:rFonts w:cs="Arial"/>
          <w:iCs/>
          <w:szCs w:val="24"/>
        </w:rPr>
        <w:t xml:space="preserve">peuvent ajouter un dialogue de gestion supplémentaire </w:t>
      </w:r>
      <w:r w:rsidRPr="003D3D43">
        <w:rPr>
          <w:rFonts w:cs="Arial"/>
          <w:bCs/>
          <w:iCs/>
          <w:szCs w:val="24"/>
        </w:rPr>
        <w:t>en cas de difficultés ou afin d’anticiper</w:t>
      </w:r>
      <w:r w:rsidRPr="003D3D43">
        <w:rPr>
          <w:rFonts w:cs="Arial"/>
          <w:iCs/>
          <w:szCs w:val="24"/>
        </w:rPr>
        <w:t xml:space="preserve"> la prorogation ou le renouvellement du contrat.</w:t>
      </w:r>
    </w:p>
    <w:p w14:paraId="6E876040" w14:textId="77777777" w:rsidR="004A1E3C" w:rsidRPr="003D3D43" w:rsidRDefault="004A1E3C" w:rsidP="003D3D43">
      <w:pPr>
        <w:autoSpaceDE w:val="0"/>
        <w:autoSpaceDN w:val="0"/>
        <w:adjustRightInd w:val="0"/>
        <w:jc w:val="both"/>
        <w:rPr>
          <w:rFonts w:cs="Arial"/>
          <w:i/>
          <w:iCs/>
          <w:szCs w:val="24"/>
        </w:rPr>
      </w:pPr>
    </w:p>
    <w:p w14:paraId="4D5F59C6" w14:textId="781F06A3" w:rsidR="00A449AB" w:rsidRPr="003D3D43" w:rsidRDefault="00943A7A" w:rsidP="00A33994">
      <w:pPr>
        <w:pStyle w:val="Paragraphedeliste"/>
        <w:numPr>
          <w:ilvl w:val="0"/>
          <w:numId w:val="3"/>
        </w:numPr>
        <w:autoSpaceDE w:val="0"/>
        <w:autoSpaceDN w:val="0"/>
        <w:adjustRightInd w:val="0"/>
        <w:jc w:val="both"/>
        <w:rPr>
          <w:rFonts w:cs="Arial"/>
          <w:b/>
          <w:iCs/>
          <w:szCs w:val="24"/>
        </w:rPr>
      </w:pPr>
      <w:r w:rsidRPr="003D3D43">
        <w:rPr>
          <w:rFonts w:cs="Arial"/>
          <w:bCs/>
          <w:iCs/>
          <w:szCs w:val="24"/>
        </w:rPr>
        <w:t>La prise en compte de circonstances imprévisibles ou exceptionnelles</w:t>
      </w:r>
      <w:r w:rsidR="00A449AB" w:rsidRPr="003D3D43">
        <w:rPr>
          <w:rFonts w:cs="Arial"/>
          <w:b/>
          <w:iCs/>
          <w:szCs w:val="24"/>
        </w:rPr>
        <w:t> :</w:t>
      </w:r>
    </w:p>
    <w:p w14:paraId="4F0AA83D" w14:textId="22590D48" w:rsidR="00943A7A" w:rsidRPr="003D3D43" w:rsidRDefault="00943A7A" w:rsidP="003D3D43">
      <w:pPr>
        <w:autoSpaceDE w:val="0"/>
        <w:autoSpaceDN w:val="0"/>
        <w:adjustRightInd w:val="0"/>
        <w:jc w:val="both"/>
        <w:rPr>
          <w:rFonts w:cs="Arial"/>
          <w:b/>
          <w:iCs/>
          <w:szCs w:val="24"/>
        </w:rPr>
      </w:pPr>
      <w:r w:rsidRPr="003D3D43">
        <w:rPr>
          <w:rFonts w:cs="Arial"/>
          <w:iCs/>
          <w:szCs w:val="24"/>
        </w:rPr>
        <w:t xml:space="preserve">En dehors des dialogues de gestion, il est de la responsabilité de chaque partie signataire de saisir le comité de suivi lorsque des circonstances (notamment des difficultés financières) ou faits nouveaux font peser un risque fort sur les conditions d’exécution du contrat, tant du point de vue des objectifs que des moyens. </w:t>
      </w:r>
      <w:bookmarkStart w:id="30" w:name="_Hlk65144349"/>
      <w:r w:rsidRPr="003D3D43">
        <w:rPr>
          <w:rFonts w:cs="Arial"/>
          <w:iCs/>
          <w:szCs w:val="24"/>
        </w:rPr>
        <w:t>La partie signataire concernée saisit les autres parties de manière circonstanciée, par lettre recommandée avec accusé de réception, ou tout autre moyen permettant d’attester que la saisine a bien été portée à la connaissance des destinataires. A compter de la dernière date de réception attestée, les membres du comité de suivi disposent de deux mois pour convenir, par tout moyen approprié (réunion, échange de courriers, etc.) des suites à donner à la saisine.</w:t>
      </w:r>
      <w:bookmarkEnd w:id="30"/>
    </w:p>
    <w:p w14:paraId="66E506F9" w14:textId="77777777" w:rsidR="00943A7A" w:rsidRPr="003D3D43" w:rsidRDefault="00943A7A" w:rsidP="003D3D43">
      <w:pPr>
        <w:autoSpaceDE w:val="0"/>
        <w:autoSpaceDN w:val="0"/>
        <w:adjustRightInd w:val="0"/>
        <w:jc w:val="both"/>
        <w:rPr>
          <w:rFonts w:cs="Arial"/>
          <w:iCs/>
          <w:szCs w:val="24"/>
        </w:rPr>
      </w:pPr>
    </w:p>
    <w:p w14:paraId="7B495DFD" w14:textId="7493C1C7" w:rsidR="00943A7A" w:rsidRPr="003D3D43" w:rsidRDefault="00943A7A" w:rsidP="003D3D43">
      <w:pPr>
        <w:pStyle w:val="Default"/>
        <w:jc w:val="both"/>
        <w:rPr>
          <w:sz w:val="20"/>
          <w:szCs w:val="20"/>
        </w:rPr>
      </w:pPr>
      <w:r w:rsidRPr="003D3D43">
        <w:rPr>
          <w:bCs/>
          <w:sz w:val="20"/>
          <w:szCs w:val="20"/>
        </w:rPr>
        <w:t xml:space="preserve">Si les objectifs ne sont pas atteints, le gestionnaire devra apporter les explications nécessaires à ces manquements et proposer un nouveau calendrier de mise en </w:t>
      </w:r>
      <w:r w:rsidR="00AE1254" w:rsidRPr="003D3D43">
        <w:rPr>
          <w:bCs/>
          <w:sz w:val="20"/>
          <w:szCs w:val="20"/>
        </w:rPr>
        <w:t>œuvre</w:t>
      </w:r>
      <w:r w:rsidRPr="003D3D43">
        <w:rPr>
          <w:bCs/>
          <w:sz w:val="20"/>
          <w:szCs w:val="20"/>
        </w:rPr>
        <w:t xml:space="preserve">, excepté dans le cas où d’un commun </w:t>
      </w:r>
      <w:r w:rsidRPr="003D3D43">
        <w:rPr>
          <w:bCs/>
          <w:sz w:val="20"/>
          <w:szCs w:val="20"/>
        </w:rPr>
        <w:lastRenderedPageBreak/>
        <w:t xml:space="preserve">accord entre les parties signataires, l’objectif n’a plus de raison d’être. Dans ce cas, un avenant sera joint au contrat. </w:t>
      </w:r>
    </w:p>
    <w:p w14:paraId="48A7A374" w14:textId="31580F51" w:rsidR="00943A7A" w:rsidRPr="003D3D43" w:rsidRDefault="00943A7A" w:rsidP="003D3D43">
      <w:pPr>
        <w:autoSpaceDE w:val="0"/>
        <w:autoSpaceDN w:val="0"/>
        <w:adjustRightInd w:val="0"/>
        <w:jc w:val="both"/>
        <w:rPr>
          <w:rFonts w:cs="Arial"/>
          <w:bCs/>
        </w:rPr>
      </w:pPr>
      <w:r w:rsidRPr="003D3D43">
        <w:rPr>
          <w:rFonts w:cs="Arial"/>
          <w:bCs/>
        </w:rPr>
        <w:t>Le gestionnaire transmettra un bilan d’exécution du CPOM, six mois avant son échéance.</w:t>
      </w:r>
    </w:p>
    <w:p w14:paraId="1A50669A" w14:textId="197CE310" w:rsidR="005244CB" w:rsidRPr="003D3D43" w:rsidRDefault="005244CB" w:rsidP="003D3D43">
      <w:pPr>
        <w:autoSpaceDE w:val="0"/>
        <w:autoSpaceDN w:val="0"/>
        <w:adjustRightInd w:val="0"/>
        <w:jc w:val="both"/>
        <w:rPr>
          <w:rFonts w:cs="Arial"/>
          <w:bCs/>
        </w:rPr>
      </w:pPr>
    </w:p>
    <w:p w14:paraId="671F8A5E" w14:textId="77777777" w:rsidR="005244CB" w:rsidRPr="003D3D43" w:rsidRDefault="005244CB" w:rsidP="003D3D43">
      <w:pPr>
        <w:autoSpaceDE w:val="0"/>
        <w:autoSpaceDN w:val="0"/>
        <w:adjustRightInd w:val="0"/>
        <w:jc w:val="both"/>
        <w:rPr>
          <w:rFonts w:cs="Arial"/>
          <w:iCs/>
          <w:szCs w:val="24"/>
        </w:rPr>
      </w:pPr>
    </w:p>
    <w:p w14:paraId="62366C62" w14:textId="0707B3E0" w:rsidR="00943A7A" w:rsidRPr="003D3D43" w:rsidRDefault="00943A7A" w:rsidP="003D3D43">
      <w:pPr>
        <w:pStyle w:val="Titre2"/>
        <w:jc w:val="both"/>
        <w:rPr>
          <w:rFonts w:ascii="Arial" w:hAnsi="Arial" w:cs="Arial"/>
          <w:b/>
          <w:bCs/>
          <w:sz w:val="24"/>
          <w:szCs w:val="24"/>
          <w:u w:val="single"/>
        </w:rPr>
      </w:pPr>
      <w:bookmarkStart w:id="31" w:name="_Toc69303806"/>
      <w:r w:rsidRPr="003D3D43">
        <w:rPr>
          <w:rFonts w:ascii="Arial" w:hAnsi="Arial" w:cs="Arial"/>
          <w:b/>
          <w:bCs/>
          <w:sz w:val="24"/>
          <w:szCs w:val="24"/>
          <w:u w:val="single"/>
        </w:rPr>
        <w:t xml:space="preserve">Article </w:t>
      </w:r>
      <w:r w:rsidR="002042C6" w:rsidRPr="003D3D43">
        <w:rPr>
          <w:rFonts w:ascii="Arial" w:hAnsi="Arial" w:cs="Arial"/>
          <w:b/>
          <w:bCs/>
          <w:sz w:val="24"/>
          <w:szCs w:val="24"/>
          <w:u w:val="single"/>
        </w:rPr>
        <w:t>2</w:t>
      </w:r>
      <w:r w:rsidRPr="003D3D43">
        <w:rPr>
          <w:rFonts w:ascii="Arial" w:hAnsi="Arial" w:cs="Arial"/>
          <w:b/>
          <w:bCs/>
          <w:sz w:val="24"/>
          <w:szCs w:val="24"/>
        </w:rPr>
        <w:t xml:space="preserve"> – </w:t>
      </w:r>
      <w:r w:rsidRPr="003D3D43">
        <w:rPr>
          <w:rFonts w:ascii="Arial" w:hAnsi="Arial" w:cs="Arial"/>
          <w:b/>
          <w:bCs/>
          <w:sz w:val="24"/>
          <w:szCs w:val="24"/>
          <w:u w:val="single"/>
        </w:rPr>
        <w:t>Le traitement des litiges :</w:t>
      </w:r>
      <w:bookmarkEnd w:id="31"/>
    </w:p>
    <w:p w14:paraId="5CE8E43C" w14:textId="77777777" w:rsidR="00943A7A" w:rsidRPr="003D3D43" w:rsidRDefault="00943A7A" w:rsidP="003D3D43">
      <w:pPr>
        <w:jc w:val="both"/>
        <w:rPr>
          <w:rFonts w:cs="Arial"/>
        </w:rPr>
      </w:pPr>
    </w:p>
    <w:p w14:paraId="2686BA61" w14:textId="77777777" w:rsidR="003156D1" w:rsidRPr="003D3D43" w:rsidRDefault="00943A7A" w:rsidP="003D3D43">
      <w:pPr>
        <w:jc w:val="both"/>
        <w:rPr>
          <w:rFonts w:cs="Arial"/>
          <w:iCs/>
          <w:szCs w:val="24"/>
        </w:rPr>
      </w:pPr>
      <w:r w:rsidRPr="003D3D43">
        <w:rPr>
          <w:rFonts w:cs="Arial"/>
          <w:iCs/>
          <w:szCs w:val="24"/>
        </w:rPr>
        <w:t>Les parties s’engagent à chercher toute solution amiable en cas de</w:t>
      </w:r>
      <w:r w:rsidR="00545CDD" w:rsidRPr="003D3D43">
        <w:rPr>
          <w:rFonts w:cs="Arial"/>
          <w:iCs/>
          <w:szCs w:val="24"/>
        </w:rPr>
        <w:t xml:space="preserve"> </w:t>
      </w:r>
      <w:r w:rsidRPr="003D3D43">
        <w:rPr>
          <w:rFonts w:cs="Arial"/>
          <w:iCs/>
          <w:szCs w:val="24"/>
        </w:rPr>
        <w:t xml:space="preserve">désaccord sur l’exécution ou l’interprétation du présent contrat. </w:t>
      </w:r>
    </w:p>
    <w:p w14:paraId="20ED4882" w14:textId="76A44096" w:rsidR="003156D1" w:rsidRPr="003D3D43" w:rsidRDefault="003156D1" w:rsidP="003D3D43">
      <w:pPr>
        <w:jc w:val="both"/>
        <w:rPr>
          <w:rFonts w:cs="Arial"/>
        </w:rPr>
      </w:pPr>
      <w:r w:rsidRPr="003D3D43">
        <w:rPr>
          <w:rFonts w:cs="Arial"/>
        </w:rPr>
        <w:t>A défaut d’accord amiable, le différend pourra être porté, conformément aux dispositions des articles R421-1 à R421-5 du code de justice administrative, devant le Tribunal administratif de B</w:t>
      </w:r>
      <w:r w:rsidR="007224B2" w:rsidRPr="003D3D43">
        <w:rPr>
          <w:rFonts w:cs="Arial"/>
        </w:rPr>
        <w:t xml:space="preserve">astia </w:t>
      </w:r>
      <w:r w:rsidRPr="003D3D43">
        <w:rPr>
          <w:rFonts w:cs="Arial"/>
        </w:rPr>
        <w:t xml:space="preserve">(Villa </w:t>
      </w:r>
      <w:proofErr w:type="spellStart"/>
      <w:r w:rsidRPr="003D3D43">
        <w:rPr>
          <w:rFonts w:cs="Arial"/>
        </w:rPr>
        <w:t>Montepiano</w:t>
      </w:r>
      <w:proofErr w:type="spellEnd"/>
      <w:r w:rsidRPr="003D3D43">
        <w:rPr>
          <w:rFonts w:cs="Arial"/>
        </w:rPr>
        <w:t xml:space="preserve"> – 20407 BASTIA).</w:t>
      </w:r>
    </w:p>
    <w:p w14:paraId="4A037041" w14:textId="77777777" w:rsidR="003156D1" w:rsidRPr="003D3D43" w:rsidRDefault="003156D1" w:rsidP="003D3D43">
      <w:pPr>
        <w:jc w:val="both"/>
        <w:rPr>
          <w:rFonts w:cs="Arial"/>
          <w:color w:val="000000"/>
          <w:u w:val="single"/>
        </w:rPr>
      </w:pPr>
      <w:r w:rsidRPr="003D3D43">
        <w:rPr>
          <w:rFonts w:cs="Arial"/>
        </w:rPr>
        <w:br/>
        <w:t xml:space="preserve">Le tribunal administratif peut être saisi par l’application « Télérecours citoyens » accessible par le site  </w:t>
      </w:r>
      <w:hyperlink r:id="rId15">
        <w:r w:rsidRPr="003D3D43">
          <w:rPr>
            <w:rFonts w:cs="Arial"/>
            <w:color w:val="000000"/>
            <w:u w:val="single"/>
          </w:rPr>
          <w:t>www.telerecours.fr</w:t>
        </w:r>
      </w:hyperlink>
    </w:p>
    <w:p w14:paraId="00F63CF7" w14:textId="77777777" w:rsidR="003156D1" w:rsidRPr="003D3D43" w:rsidRDefault="003156D1" w:rsidP="003D3D43">
      <w:pPr>
        <w:jc w:val="both"/>
        <w:rPr>
          <w:rFonts w:cs="Arial"/>
        </w:rPr>
      </w:pPr>
    </w:p>
    <w:p w14:paraId="6D88BC91" w14:textId="018D90EC" w:rsidR="00943A7A" w:rsidRPr="003D3D43" w:rsidRDefault="00943A7A" w:rsidP="003D3D43">
      <w:pPr>
        <w:autoSpaceDE w:val="0"/>
        <w:autoSpaceDN w:val="0"/>
        <w:adjustRightInd w:val="0"/>
        <w:jc w:val="both"/>
        <w:rPr>
          <w:rFonts w:cs="Arial"/>
          <w:iCs/>
          <w:szCs w:val="24"/>
        </w:rPr>
      </w:pPr>
    </w:p>
    <w:p w14:paraId="31B700A9" w14:textId="1DBE538A" w:rsidR="00943A7A" w:rsidRPr="003D3D43" w:rsidRDefault="00943A7A" w:rsidP="003D3D43">
      <w:pPr>
        <w:pStyle w:val="Titre2"/>
        <w:jc w:val="both"/>
        <w:rPr>
          <w:rFonts w:ascii="Arial" w:hAnsi="Arial" w:cs="Arial"/>
          <w:b/>
          <w:bCs/>
          <w:sz w:val="24"/>
          <w:szCs w:val="24"/>
          <w:u w:val="single"/>
        </w:rPr>
      </w:pPr>
      <w:bookmarkStart w:id="32" w:name="_Toc69303807"/>
      <w:r w:rsidRPr="003D3D43">
        <w:rPr>
          <w:rFonts w:ascii="Arial" w:hAnsi="Arial" w:cs="Arial"/>
          <w:b/>
          <w:bCs/>
          <w:sz w:val="24"/>
          <w:szCs w:val="24"/>
          <w:u w:val="single"/>
        </w:rPr>
        <w:t xml:space="preserve">Article </w:t>
      </w:r>
      <w:r w:rsidR="00545CDD" w:rsidRPr="003D3D43">
        <w:rPr>
          <w:rFonts w:ascii="Arial" w:hAnsi="Arial" w:cs="Arial"/>
          <w:b/>
          <w:bCs/>
          <w:sz w:val="24"/>
          <w:szCs w:val="24"/>
          <w:u w:val="single"/>
        </w:rPr>
        <w:t>3</w:t>
      </w:r>
      <w:r w:rsidRPr="003D3D43">
        <w:rPr>
          <w:rFonts w:ascii="Arial" w:hAnsi="Arial" w:cs="Arial"/>
          <w:b/>
          <w:bCs/>
          <w:sz w:val="24"/>
          <w:szCs w:val="24"/>
        </w:rPr>
        <w:t xml:space="preserve"> – </w:t>
      </w:r>
      <w:r w:rsidRPr="003D3D43">
        <w:rPr>
          <w:rFonts w:ascii="Arial" w:hAnsi="Arial" w:cs="Arial"/>
          <w:b/>
          <w:bCs/>
          <w:sz w:val="24"/>
          <w:szCs w:val="24"/>
          <w:u w:val="single"/>
        </w:rPr>
        <w:t>La révision du contrat</w:t>
      </w:r>
      <w:bookmarkEnd w:id="32"/>
      <w:r w:rsidRPr="003D3D43">
        <w:rPr>
          <w:rFonts w:ascii="Arial" w:hAnsi="Arial" w:cs="Arial"/>
          <w:b/>
          <w:bCs/>
          <w:sz w:val="24"/>
          <w:szCs w:val="24"/>
          <w:u w:val="single"/>
        </w:rPr>
        <w:t> </w:t>
      </w:r>
    </w:p>
    <w:p w14:paraId="54A12225" w14:textId="77777777" w:rsidR="00943A7A" w:rsidRPr="003D3D43" w:rsidRDefault="00943A7A" w:rsidP="003D3D43">
      <w:pPr>
        <w:autoSpaceDE w:val="0"/>
        <w:autoSpaceDN w:val="0"/>
        <w:adjustRightInd w:val="0"/>
        <w:jc w:val="both"/>
        <w:rPr>
          <w:rFonts w:cs="Arial"/>
          <w:bCs/>
          <w:szCs w:val="24"/>
        </w:rPr>
      </w:pPr>
    </w:p>
    <w:p w14:paraId="44A7BB9C" w14:textId="77777777" w:rsidR="00943A7A" w:rsidRPr="003D3D43" w:rsidRDefault="00943A7A" w:rsidP="003D3D43">
      <w:pPr>
        <w:autoSpaceDE w:val="0"/>
        <w:autoSpaceDN w:val="0"/>
        <w:adjustRightInd w:val="0"/>
        <w:jc w:val="both"/>
        <w:rPr>
          <w:rFonts w:cs="Arial"/>
          <w:iCs/>
        </w:rPr>
      </w:pPr>
      <w:r w:rsidRPr="003D3D43">
        <w:rPr>
          <w:rFonts w:cs="Arial"/>
          <w:iCs/>
        </w:rPr>
        <w:t xml:space="preserve">Les parties signataires peuvent convenir d’une révision du CPOM, compte tenu des </w:t>
      </w:r>
      <w:r w:rsidRPr="003D3D43">
        <w:rPr>
          <w:rFonts w:cs="Arial"/>
          <w:bCs/>
          <w:iCs/>
        </w:rPr>
        <w:t>conclusions du comité de suivi à l’issue des dialogues de gestion</w:t>
      </w:r>
      <w:r w:rsidRPr="003D3D43">
        <w:rPr>
          <w:rFonts w:cs="Arial"/>
          <w:iCs/>
        </w:rPr>
        <w:t xml:space="preserve"> ou des saisines exceptionnelles. Cette révision prend la forme d’un avenant au CPOM, lequel ne peut avoir pour effet de modifier la durée initialement prévue au CPOM.</w:t>
      </w:r>
    </w:p>
    <w:p w14:paraId="71D5252A" w14:textId="77777777" w:rsidR="00943A7A" w:rsidRPr="003D3D43" w:rsidRDefault="00943A7A" w:rsidP="003D3D43">
      <w:pPr>
        <w:autoSpaceDE w:val="0"/>
        <w:autoSpaceDN w:val="0"/>
        <w:adjustRightInd w:val="0"/>
        <w:jc w:val="both"/>
        <w:rPr>
          <w:rFonts w:cs="Arial"/>
          <w:iCs/>
        </w:rPr>
      </w:pPr>
    </w:p>
    <w:p w14:paraId="18FF9FC4" w14:textId="30831682" w:rsidR="00943A7A" w:rsidRPr="003D3D43" w:rsidRDefault="00943A7A" w:rsidP="003D3D43">
      <w:pPr>
        <w:pStyle w:val="Default"/>
        <w:jc w:val="both"/>
        <w:rPr>
          <w:sz w:val="20"/>
          <w:szCs w:val="20"/>
        </w:rPr>
      </w:pPr>
      <w:r w:rsidRPr="003D3D43">
        <w:rPr>
          <w:sz w:val="20"/>
          <w:szCs w:val="20"/>
        </w:rPr>
        <w:t xml:space="preserve">Le contenu des objectifs </w:t>
      </w:r>
      <w:r w:rsidR="00631FB2">
        <w:rPr>
          <w:sz w:val="20"/>
          <w:szCs w:val="20"/>
        </w:rPr>
        <w:t>du CPOM</w:t>
      </w:r>
      <w:r w:rsidRPr="003D3D43">
        <w:rPr>
          <w:sz w:val="20"/>
          <w:szCs w:val="20"/>
        </w:rPr>
        <w:t xml:space="preserve"> pourra être révisé ou modifié par avenant, dans les cas suivants : </w:t>
      </w:r>
    </w:p>
    <w:p w14:paraId="21A0DE13" w14:textId="77777777" w:rsidR="00943A7A" w:rsidRPr="003D3D43" w:rsidRDefault="00943A7A" w:rsidP="00A33994">
      <w:pPr>
        <w:pStyle w:val="Default"/>
        <w:numPr>
          <w:ilvl w:val="1"/>
          <w:numId w:val="4"/>
        </w:numPr>
        <w:spacing w:after="12"/>
        <w:ind w:left="709"/>
        <w:jc w:val="both"/>
        <w:rPr>
          <w:sz w:val="20"/>
          <w:szCs w:val="20"/>
        </w:rPr>
      </w:pPr>
      <w:r w:rsidRPr="003D3D43">
        <w:rPr>
          <w:sz w:val="20"/>
          <w:szCs w:val="20"/>
        </w:rPr>
        <w:t xml:space="preserve">Modification législative et règlementaire substantielle ; </w:t>
      </w:r>
    </w:p>
    <w:p w14:paraId="33743766" w14:textId="77777777" w:rsidR="00943A7A" w:rsidRPr="003D3D43" w:rsidRDefault="00943A7A" w:rsidP="00A33994">
      <w:pPr>
        <w:pStyle w:val="Default"/>
        <w:numPr>
          <w:ilvl w:val="1"/>
          <w:numId w:val="4"/>
        </w:numPr>
        <w:spacing w:after="12"/>
        <w:ind w:left="709"/>
        <w:jc w:val="both"/>
        <w:rPr>
          <w:sz w:val="20"/>
          <w:szCs w:val="20"/>
        </w:rPr>
      </w:pPr>
      <w:r w:rsidRPr="003D3D43">
        <w:rPr>
          <w:sz w:val="20"/>
          <w:szCs w:val="20"/>
        </w:rPr>
        <w:t xml:space="preserve">Après révision du projet régional de santé n°2 ; </w:t>
      </w:r>
    </w:p>
    <w:p w14:paraId="0C7E1C40" w14:textId="77777777" w:rsidR="00943A7A" w:rsidRPr="003D3D43" w:rsidRDefault="00943A7A" w:rsidP="00A33994">
      <w:pPr>
        <w:pStyle w:val="Default"/>
        <w:numPr>
          <w:ilvl w:val="1"/>
          <w:numId w:val="4"/>
        </w:numPr>
        <w:spacing w:after="12"/>
        <w:ind w:left="709"/>
        <w:jc w:val="both"/>
        <w:rPr>
          <w:sz w:val="20"/>
          <w:szCs w:val="20"/>
        </w:rPr>
      </w:pPr>
      <w:r w:rsidRPr="003D3D43">
        <w:rPr>
          <w:sz w:val="20"/>
          <w:szCs w:val="20"/>
        </w:rPr>
        <w:t xml:space="preserve">Du fait de modifications substantielles de l’environnement de la structure ; </w:t>
      </w:r>
    </w:p>
    <w:p w14:paraId="5D0E6EB5" w14:textId="77777777" w:rsidR="00943A7A" w:rsidRPr="003D3D43" w:rsidRDefault="00943A7A" w:rsidP="00A33994">
      <w:pPr>
        <w:pStyle w:val="Default"/>
        <w:numPr>
          <w:ilvl w:val="1"/>
          <w:numId w:val="4"/>
        </w:numPr>
        <w:spacing w:after="12"/>
        <w:ind w:left="709"/>
        <w:jc w:val="both"/>
        <w:rPr>
          <w:sz w:val="20"/>
          <w:szCs w:val="20"/>
        </w:rPr>
      </w:pPr>
      <w:r w:rsidRPr="003D3D43">
        <w:rPr>
          <w:sz w:val="20"/>
          <w:szCs w:val="20"/>
        </w:rPr>
        <w:t xml:space="preserve">Au regard de l’intégration de nouvelles structures dans le champ du CPOM ; </w:t>
      </w:r>
    </w:p>
    <w:p w14:paraId="0DB9FD15" w14:textId="77777777" w:rsidR="00943A7A" w:rsidRPr="003D3D43" w:rsidRDefault="00943A7A" w:rsidP="00A33994">
      <w:pPr>
        <w:pStyle w:val="Default"/>
        <w:numPr>
          <w:ilvl w:val="1"/>
          <w:numId w:val="4"/>
        </w:numPr>
        <w:spacing w:after="12"/>
        <w:ind w:left="709"/>
        <w:jc w:val="both"/>
        <w:rPr>
          <w:sz w:val="20"/>
          <w:szCs w:val="20"/>
        </w:rPr>
      </w:pPr>
      <w:r w:rsidRPr="003D3D43">
        <w:rPr>
          <w:sz w:val="20"/>
          <w:szCs w:val="20"/>
        </w:rPr>
        <w:t xml:space="preserve">Dans le cadre du dialogue de gestion ; </w:t>
      </w:r>
    </w:p>
    <w:p w14:paraId="332ED49D" w14:textId="77777777" w:rsidR="00943A7A" w:rsidRPr="003D3D43" w:rsidRDefault="00943A7A" w:rsidP="00A33994">
      <w:pPr>
        <w:pStyle w:val="Default"/>
        <w:numPr>
          <w:ilvl w:val="1"/>
          <w:numId w:val="4"/>
        </w:numPr>
        <w:spacing w:after="12"/>
        <w:ind w:left="709"/>
        <w:jc w:val="both"/>
        <w:rPr>
          <w:sz w:val="20"/>
          <w:szCs w:val="20"/>
        </w:rPr>
      </w:pPr>
      <w:r w:rsidRPr="003D3D43">
        <w:rPr>
          <w:sz w:val="20"/>
          <w:szCs w:val="20"/>
        </w:rPr>
        <w:t xml:space="preserve">En cas de force majeure entrainant une modification substantielle de la qualité et de la sécurité de la prise en charge ; </w:t>
      </w:r>
    </w:p>
    <w:p w14:paraId="269F578A" w14:textId="7A9A4CAF" w:rsidR="00943A7A" w:rsidRPr="003D3D43" w:rsidRDefault="00943A7A" w:rsidP="00A33994">
      <w:pPr>
        <w:pStyle w:val="Default"/>
        <w:numPr>
          <w:ilvl w:val="1"/>
          <w:numId w:val="4"/>
        </w:numPr>
        <w:spacing w:after="12"/>
        <w:ind w:left="709"/>
        <w:jc w:val="both"/>
        <w:rPr>
          <w:sz w:val="20"/>
          <w:szCs w:val="20"/>
        </w:rPr>
      </w:pPr>
      <w:r w:rsidRPr="003D3D43">
        <w:rPr>
          <w:sz w:val="20"/>
          <w:szCs w:val="20"/>
        </w:rPr>
        <w:t>Lorsque les objectifs ne sont pas atteints</w:t>
      </w:r>
      <w:r w:rsidR="00AE1254" w:rsidRPr="003D3D43">
        <w:rPr>
          <w:sz w:val="20"/>
          <w:szCs w:val="20"/>
        </w:rPr>
        <w:t> ;</w:t>
      </w:r>
    </w:p>
    <w:p w14:paraId="49EE0E11" w14:textId="1766DFD8" w:rsidR="00943A7A" w:rsidRPr="003D3D43" w:rsidRDefault="00943A7A" w:rsidP="00A33994">
      <w:pPr>
        <w:pStyle w:val="Default"/>
        <w:numPr>
          <w:ilvl w:val="1"/>
          <w:numId w:val="4"/>
        </w:numPr>
        <w:ind w:left="709"/>
        <w:jc w:val="both"/>
        <w:rPr>
          <w:sz w:val="20"/>
          <w:szCs w:val="20"/>
        </w:rPr>
      </w:pPr>
      <w:r w:rsidRPr="003D3D43">
        <w:rPr>
          <w:sz w:val="20"/>
          <w:szCs w:val="20"/>
        </w:rPr>
        <w:t>Lorsqu’un besoin émarge d’un nouvel objectif</w:t>
      </w:r>
      <w:r w:rsidR="00AE1254" w:rsidRPr="003D3D43">
        <w:rPr>
          <w:sz w:val="20"/>
          <w:szCs w:val="20"/>
        </w:rPr>
        <w:t>.</w:t>
      </w:r>
    </w:p>
    <w:p w14:paraId="60A61A7D" w14:textId="77777777" w:rsidR="00063C21" w:rsidRPr="003D3D43" w:rsidRDefault="00063C21" w:rsidP="003D3D43">
      <w:pPr>
        <w:pStyle w:val="Default"/>
        <w:ind w:left="709"/>
        <w:jc w:val="both"/>
        <w:rPr>
          <w:sz w:val="20"/>
          <w:szCs w:val="20"/>
        </w:rPr>
      </w:pPr>
    </w:p>
    <w:p w14:paraId="05B208F0" w14:textId="77777777" w:rsidR="005244CB" w:rsidRPr="003D3D43" w:rsidRDefault="005244CB" w:rsidP="003D3D43">
      <w:pPr>
        <w:pStyle w:val="Default"/>
        <w:ind w:left="709"/>
        <w:jc w:val="both"/>
        <w:rPr>
          <w:sz w:val="20"/>
          <w:szCs w:val="20"/>
        </w:rPr>
      </w:pPr>
    </w:p>
    <w:p w14:paraId="4C9E8036" w14:textId="0CDA6E89" w:rsidR="00943A7A" w:rsidRPr="003D3D43" w:rsidRDefault="00943A7A" w:rsidP="003D3D43">
      <w:pPr>
        <w:pStyle w:val="Titre2"/>
        <w:jc w:val="both"/>
        <w:rPr>
          <w:rFonts w:ascii="Arial" w:hAnsi="Arial" w:cs="Arial"/>
          <w:b/>
          <w:bCs/>
          <w:sz w:val="24"/>
          <w:szCs w:val="24"/>
          <w:u w:val="single"/>
        </w:rPr>
      </w:pPr>
      <w:bookmarkStart w:id="33" w:name="_Toc69303808"/>
      <w:r w:rsidRPr="003D3D43">
        <w:rPr>
          <w:rFonts w:ascii="Arial" w:hAnsi="Arial" w:cs="Arial"/>
          <w:b/>
          <w:bCs/>
          <w:sz w:val="24"/>
          <w:szCs w:val="24"/>
          <w:u w:val="single"/>
        </w:rPr>
        <w:t xml:space="preserve">Article </w:t>
      </w:r>
      <w:r w:rsidR="00545CDD" w:rsidRPr="003D3D43">
        <w:rPr>
          <w:rFonts w:ascii="Arial" w:hAnsi="Arial" w:cs="Arial"/>
          <w:b/>
          <w:bCs/>
          <w:sz w:val="24"/>
          <w:szCs w:val="24"/>
          <w:u w:val="single"/>
        </w:rPr>
        <w:t>4</w:t>
      </w:r>
      <w:r w:rsidRPr="003D3D43">
        <w:rPr>
          <w:rFonts w:ascii="Arial" w:hAnsi="Arial" w:cs="Arial"/>
          <w:b/>
          <w:bCs/>
          <w:sz w:val="24"/>
          <w:szCs w:val="24"/>
        </w:rPr>
        <w:t xml:space="preserve"> – </w:t>
      </w:r>
      <w:r w:rsidRPr="003D3D43">
        <w:rPr>
          <w:rFonts w:ascii="Arial" w:hAnsi="Arial" w:cs="Arial"/>
          <w:b/>
          <w:bCs/>
          <w:sz w:val="24"/>
          <w:szCs w:val="24"/>
          <w:u w:val="single"/>
        </w:rPr>
        <w:t>Date d’entrée en vigueur</w:t>
      </w:r>
      <w:r w:rsidR="00E20DB3">
        <w:rPr>
          <w:rFonts w:ascii="Arial" w:hAnsi="Arial" w:cs="Arial"/>
          <w:b/>
          <w:bCs/>
          <w:sz w:val="24"/>
          <w:szCs w:val="24"/>
          <w:u w:val="single"/>
        </w:rPr>
        <w:t xml:space="preserve"> et durée</w:t>
      </w:r>
      <w:r w:rsidRPr="003D3D43">
        <w:rPr>
          <w:rFonts w:ascii="Arial" w:hAnsi="Arial" w:cs="Arial"/>
          <w:b/>
          <w:bCs/>
          <w:sz w:val="24"/>
          <w:szCs w:val="24"/>
          <w:u w:val="single"/>
        </w:rPr>
        <w:t xml:space="preserve"> du CPOM</w:t>
      </w:r>
      <w:bookmarkEnd w:id="33"/>
    </w:p>
    <w:p w14:paraId="77A96FE1" w14:textId="77777777" w:rsidR="00943A7A" w:rsidRPr="003D3D43" w:rsidRDefault="00943A7A" w:rsidP="003D3D43">
      <w:pPr>
        <w:jc w:val="both"/>
        <w:rPr>
          <w:rFonts w:cs="Arial"/>
        </w:rPr>
      </w:pPr>
    </w:p>
    <w:p w14:paraId="2F127B1C" w14:textId="77777777" w:rsidR="005C142B" w:rsidRPr="003D3D43" w:rsidRDefault="00545CDD" w:rsidP="003D3D43">
      <w:pPr>
        <w:pStyle w:val="Sansinterligne"/>
        <w:jc w:val="both"/>
        <w:rPr>
          <w:rFonts w:eastAsia="Calibri" w:cs="Arial"/>
        </w:rPr>
      </w:pPr>
      <w:bookmarkStart w:id="34" w:name="_Hlk66713640"/>
      <w:r w:rsidRPr="003D3D43">
        <w:rPr>
          <w:rFonts w:eastAsia="Calibri" w:cs="Arial"/>
        </w:rPr>
        <w:t>Le CPOM entre en vigueur le 1</w:t>
      </w:r>
      <w:r w:rsidRPr="003D3D43">
        <w:rPr>
          <w:rFonts w:eastAsia="Calibri" w:cs="Arial"/>
          <w:vertAlign w:val="superscript"/>
        </w:rPr>
        <w:t>er</w:t>
      </w:r>
      <w:r w:rsidRPr="003D3D43">
        <w:rPr>
          <w:rFonts w:eastAsia="Calibri" w:cs="Arial"/>
        </w:rPr>
        <w:t xml:space="preserve"> </w:t>
      </w:r>
      <w:r w:rsidR="00730E8F" w:rsidRPr="003D3D43">
        <w:rPr>
          <w:rFonts w:eastAsia="Calibri" w:cs="Arial"/>
        </w:rPr>
        <w:t>janvier de l’année suivant</w:t>
      </w:r>
      <w:r w:rsidRPr="003D3D43">
        <w:rPr>
          <w:rFonts w:eastAsia="Calibri" w:cs="Arial"/>
        </w:rPr>
        <w:t xml:space="preserve"> sa date de signature. Il est conclu pour une durée de 5 ans.</w:t>
      </w:r>
    </w:p>
    <w:p w14:paraId="5D6ADAD0" w14:textId="3A06B9CB" w:rsidR="00545CDD" w:rsidRPr="003D3D43" w:rsidRDefault="00545CDD" w:rsidP="003D3D43">
      <w:pPr>
        <w:pStyle w:val="Sansinterligne"/>
        <w:jc w:val="both"/>
        <w:rPr>
          <w:rFonts w:eastAsia="Calibri" w:cs="Arial"/>
        </w:rPr>
      </w:pPr>
      <w:r w:rsidRPr="003D3D43">
        <w:rPr>
          <w:rFonts w:eastAsia="Calibri" w:cs="Arial"/>
        </w:rPr>
        <w:t>La durée initiale de cinq ans du contrat peut être prorogée sans avenant pour une durée maximale d’un an, au cours de laquelle le contrat continue de produire ses effets, dans les conditions de formalités allégées décrites ci-après. Au plus tard six mois avant l’échéance prévue au contrat pluriannuel d’objectifs et de moyens, une partie signataire souhaitant la prorogation simple du contrat le notifie aux autres parties signataires par lettre recommandée avec accusé de réception ou tout autre moyen permettant d’attester de la remise du document aux destinataires. Celles-ci ont un mois pour signaler leur accord ou leur désaccord par les mêmes moyens. A défaut de réponse dans ce délai, l’accord est réputé acquis. En cas de désaccord sur la prorogation entre les parties à l’issue de la période d’un mois, une négociation en vue de la conclusion d’un nouveau contrat pluriannuel d’objectifs et de moyens est ouverte sans délai.</w:t>
      </w:r>
    </w:p>
    <w:p w14:paraId="67593E38" w14:textId="77777777" w:rsidR="00545CDD" w:rsidRPr="003D3D43" w:rsidRDefault="00545CDD" w:rsidP="003D3D43">
      <w:pPr>
        <w:pStyle w:val="Sansinterligne"/>
        <w:jc w:val="both"/>
        <w:rPr>
          <w:rFonts w:eastAsia="Calibri" w:cs="Arial"/>
        </w:rPr>
      </w:pPr>
      <w:r w:rsidRPr="003D3D43">
        <w:rPr>
          <w:rFonts w:eastAsia="Calibri" w:cs="Arial"/>
        </w:rPr>
        <w:t>A l’échéance de la prorogation d’un an, un avenant prolongeant d’un an le contrat pluriannuel d’objectifs et de moyens peut être conclu entre les parties. Cet avenant n’est pas renouvelable.</w:t>
      </w:r>
    </w:p>
    <w:p w14:paraId="65B4D052" w14:textId="77777777" w:rsidR="00545CDD" w:rsidRPr="003D3D43" w:rsidRDefault="00545CDD" w:rsidP="003D3D43">
      <w:pPr>
        <w:pStyle w:val="Sansinterligne"/>
        <w:jc w:val="both"/>
        <w:rPr>
          <w:rFonts w:eastAsia="Calibri" w:cs="Arial"/>
        </w:rPr>
      </w:pPr>
    </w:p>
    <w:p w14:paraId="4627B1DA" w14:textId="44481915" w:rsidR="005353E8" w:rsidRDefault="00545CDD" w:rsidP="003D3D43">
      <w:pPr>
        <w:pStyle w:val="Sansinterligne"/>
        <w:jc w:val="both"/>
        <w:rPr>
          <w:rFonts w:eastAsia="Calibri" w:cs="Arial"/>
        </w:rPr>
      </w:pPr>
      <w:bookmarkStart w:id="35" w:name="_Hlk66441879"/>
      <w:r w:rsidRPr="003D3D43">
        <w:rPr>
          <w:rFonts w:eastAsia="Calibri" w:cs="Arial"/>
        </w:rPr>
        <w:t>En cas de non-respect par l’une ou l’autre des parties, d’un ou des engagements contenus dans le présent contrat, ce dernier pourra être dénoncé par l’une d’elles. Dans ce cas, cette décision devra être formulée par lettre recommandée avec accusé de réception et respecter un préavis de 6 mois.</w:t>
      </w:r>
      <w:bookmarkEnd w:id="35"/>
    </w:p>
    <w:p w14:paraId="1CF7130C" w14:textId="77777777" w:rsidR="00631FB2" w:rsidRPr="003D3D43" w:rsidRDefault="00631FB2" w:rsidP="003D3D43">
      <w:pPr>
        <w:pStyle w:val="Sansinterligne"/>
        <w:jc w:val="both"/>
        <w:rPr>
          <w:rFonts w:cs="Arial"/>
          <w:szCs w:val="22"/>
        </w:rPr>
      </w:pPr>
    </w:p>
    <w:bookmarkStart w:id="36" w:name="_Toc69303809"/>
    <w:bookmarkEnd w:id="34"/>
    <w:p w14:paraId="63B4C7E3" w14:textId="2F59CAA6" w:rsidR="00943A7A" w:rsidRPr="00473B51" w:rsidRDefault="00635EBC" w:rsidP="00545CDD">
      <w:pPr>
        <w:pStyle w:val="Titre1"/>
        <w:rPr>
          <w:rFonts w:ascii="Arial" w:hAnsi="Arial" w:cs="Arial"/>
          <w:sz w:val="22"/>
          <w:szCs w:val="18"/>
        </w:rPr>
      </w:pPr>
      <w:r w:rsidRPr="00473B51">
        <w:rPr>
          <w:rFonts w:ascii="Arial" w:hAnsi="Arial" w:cs="Arial"/>
          <w:noProof/>
          <w:color w:val="000000" w:themeColor="text1"/>
          <w:sz w:val="18"/>
          <w:szCs w:val="18"/>
        </w:rPr>
        <w:lastRenderedPageBreak/>
        <mc:AlternateContent>
          <mc:Choice Requires="wps">
            <w:drawing>
              <wp:anchor distT="0" distB="0" distL="114300" distR="114300" simplePos="0" relativeHeight="251669504" behindDoc="0" locked="0" layoutInCell="1" allowOverlap="1" wp14:anchorId="519152EF" wp14:editId="76142FC3">
                <wp:simplePos x="0" y="0"/>
                <wp:positionH relativeFrom="margin">
                  <wp:align>left</wp:align>
                </wp:positionH>
                <wp:positionV relativeFrom="paragraph">
                  <wp:posOffset>-114935</wp:posOffset>
                </wp:positionV>
                <wp:extent cx="6010275" cy="4286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6010275" cy="42862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F6183" id="Rectangle 4" o:spid="_x0000_s1026" style="position:absolute;margin-left:0;margin-top:-9.05pt;width:473.25pt;height:33.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" filled="f" strokecolor="black [3200]">
                <v:stroke joinstyle="round"/>
                <w10:wrap anchorx="margin"/>
              </v:rect>
            </w:pict>
          </mc:Fallback>
        </mc:AlternateContent>
      </w:r>
      <w:r w:rsidRPr="00473B51">
        <w:rPr>
          <w:rFonts w:ascii="Arial" w:hAnsi="Arial" w:cs="Arial"/>
          <w:color w:val="auto"/>
          <w:sz w:val="32"/>
          <w:szCs w:val="32"/>
        </w:rPr>
        <w:t xml:space="preserve">  </w:t>
      </w:r>
      <w:r w:rsidR="00545CDD" w:rsidRPr="00473B51">
        <w:rPr>
          <w:rFonts w:ascii="Arial" w:hAnsi="Arial" w:cs="Arial"/>
          <w:color w:val="auto"/>
          <w:sz w:val="32"/>
          <w:szCs w:val="32"/>
        </w:rPr>
        <w:t>TITRE 3- LISTE DES ANNEXES AU CPOM</w:t>
      </w:r>
      <w:bookmarkEnd w:id="36"/>
    </w:p>
    <w:p w14:paraId="2A333865" w14:textId="77777777" w:rsidR="00943A7A" w:rsidRPr="00473B51" w:rsidRDefault="00943A7A" w:rsidP="00943A7A">
      <w:pPr>
        <w:autoSpaceDE w:val="0"/>
        <w:autoSpaceDN w:val="0"/>
        <w:adjustRightInd w:val="0"/>
        <w:ind w:right="-333"/>
        <w:jc w:val="both"/>
        <w:rPr>
          <w:rFonts w:cs="Arial"/>
        </w:rPr>
      </w:pPr>
    </w:p>
    <w:p w14:paraId="3DC5798D" w14:textId="77777777" w:rsidR="00635EBC" w:rsidRPr="00473B51" w:rsidRDefault="00635EBC" w:rsidP="00943A7A">
      <w:pPr>
        <w:ind w:right="-333"/>
        <w:jc w:val="both"/>
        <w:rPr>
          <w:rFonts w:cs="Arial"/>
          <w:bCs/>
          <w:szCs w:val="22"/>
        </w:rPr>
      </w:pPr>
    </w:p>
    <w:p w14:paraId="0A074EC4" w14:textId="51F4F771" w:rsidR="00943A7A" w:rsidRPr="00473B51" w:rsidRDefault="00943A7A" w:rsidP="003D3D43">
      <w:pPr>
        <w:ind w:right="-333"/>
        <w:jc w:val="both"/>
        <w:rPr>
          <w:rFonts w:cs="Arial"/>
          <w:bCs/>
          <w:szCs w:val="22"/>
        </w:rPr>
      </w:pPr>
      <w:r w:rsidRPr="00473B51">
        <w:rPr>
          <w:rFonts w:cs="Arial"/>
          <w:bCs/>
          <w:szCs w:val="22"/>
        </w:rPr>
        <w:t>Les présentes annexes sont opposables aux parties signataires comme le corps du contrat</w:t>
      </w:r>
      <w:r w:rsidR="00C642AC" w:rsidRPr="00473B51">
        <w:rPr>
          <w:rFonts w:cs="Arial"/>
          <w:bCs/>
          <w:szCs w:val="22"/>
        </w:rPr>
        <w:t>.</w:t>
      </w:r>
    </w:p>
    <w:p w14:paraId="2D487A13" w14:textId="77777777" w:rsidR="00943A7A" w:rsidRPr="00473B51" w:rsidRDefault="00943A7A" w:rsidP="003D3D43">
      <w:pPr>
        <w:ind w:right="-333"/>
        <w:jc w:val="both"/>
        <w:rPr>
          <w:rFonts w:cs="Arial"/>
          <w:b/>
          <w:szCs w:val="22"/>
        </w:rPr>
      </w:pPr>
    </w:p>
    <w:p w14:paraId="77819C24" w14:textId="28087D15" w:rsidR="00C642AC" w:rsidRPr="00473B51" w:rsidRDefault="00631FB2" w:rsidP="003D3D43">
      <w:pPr>
        <w:ind w:right="-333"/>
        <w:jc w:val="both"/>
        <w:rPr>
          <w:rFonts w:cs="Arial"/>
          <w:b/>
          <w:bCs/>
        </w:rPr>
      </w:pPr>
      <w:r>
        <w:rPr>
          <w:rFonts w:cs="Arial"/>
          <w:b/>
          <w:bCs/>
        </w:rPr>
        <w:t>Les annexes 1 à 4</w:t>
      </w:r>
      <w:r w:rsidR="00C642AC" w:rsidRPr="00473B51">
        <w:rPr>
          <w:rFonts w:cs="Arial"/>
          <w:b/>
          <w:bCs/>
        </w:rPr>
        <w:t xml:space="preserve"> sont obligatoires et communes à tous les CPOM. Elles sont produites spécifiquement pour le CPOM :</w:t>
      </w:r>
    </w:p>
    <w:p w14:paraId="42501B9F" w14:textId="77777777" w:rsidR="00C642AC" w:rsidRPr="00473B51" w:rsidRDefault="00C642AC" w:rsidP="003D3D43">
      <w:pPr>
        <w:ind w:right="-333"/>
        <w:jc w:val="both"/>
        <w:rPr>
          <w:rFonts w:cs="Arial"/>
        </w:rPr>
      </w:pPr>
    </w:p>
    <w:p w14:paraId="1640770F" w14:textId="3D52DCC6" w:rsidR="00C642AC" w:rsidRDefault="00C642AC" w:rsidP="00A33994">
      <w:pPr>
        <w:pStyle w:val="Paragraphedeliste"/>
        <w:numPr>
          <w:ilvl w:val="0"/>
          <w:numId w:val="16"/>
        </w:numPr>
        <w:ind w:right="-333"/>
        <w:jc w:val="both"/>
        <w:rPr>
          <w:rFonts w:cs="Arial"/>
        </w:rPr>
      </w:pPr>
      <w:bookmarkStart w:id="37" w:name="_Hlk65142908"/>
      <w:bookmarkStart w:id="38" w:name="_Hlk65238297"/>
      <w:r w:rsidRPr="00473B51">
        <w:rPr>
          <w:rFonts w:cs="Arial"/>
          <w:b/>
          <w:bCs/>
          <w:u w:val="single"/>
        </w:rPr>
        <w:t>Annexe 1</w:t>
      </w:r>
      <w:r w:rsidRPr="00473B51">
        <w:rPr>
          <w:rFonts w:cs="Arial"/>
        </w:rPr>
        <w:t xml:space="preserve"> : Fiche d’identification présentant les caractéristiques du gestionnaire et/ou des ESMS entrant dans le périmètre du contrat</w:t>
      </w:r>
    </w:p>
    <w:p w14:paraId="3D2F02C2" w14:textId="060193B5" w:rsidR="00E022ED" w:rsidRPr="00574F45" w:rsidRDefault="00E022ED" w:rsidP="00A33994">
      <w:pPr>
        <w:pStyle w:val="Paragraphedeliste"/>
        <w:numPr>
          <w:ilvl w:val="1"/>
          <w:numId w:val="16"/>
        </w:numPr>
        <w:ind w:right="-333"/>
        <w:jc w:val="both"/>
        <w:rPr>
          <w:rFonts w:cs="Arial"/>
        </w:rPr>
      </w:pPr>
      <w:r w:rsidRPr="00574F45">
        <w:rPr>
          <w:rFonts w:cs="Arial"/>
          <w:b/>
          <w:bCs/>
          <w:u w:val="single"/>
        </w:rPr>
        <w:t>Annexe 1a</w:t>
      </w:r>
      <w:r w:rsidRPr="00574F45">
        <w:rPr>
          <w:rFonts w:cs="Arial"/>
        </w:rPr>
        <w:t xml:space="preserve"> : Fiche d’identification </w:t>
      </w:r>
      <w:r w:rsidR="00631FB2">
        <w:rPr>
          <w:rFonts w:cs="Arial"/>
        </w:rPr>
        <w:t>l’</w:t>
      </w:r>
      <w:r w:rsidRPr="00574F45">
        <w:rPr>
          <w:rFonts w:cs="Arial"/>
        </w:rPr>
        <w:t>OG</w:t>
      </w:r>
      <w:r w:rsidR="00432036">
        <w:rPr>
          <w:rFonts w:cs="Arial"/>
        </w:rPr>
        <w:t xml:space="preserve"> et périmètre du contrat</w:t>
      </w:r>
    </w:p>
    <w:p w14:paraId="2EEC6016" w14:textId="63892832" w:rsidR="00E022ED" w:rsidRPr="00574F45" w:rsidRDefault="00E022ED" w:rsidP="00A33994">
      <w:pPr>
        <w:pStyle w:val="Paragraphedeliste"/>
        <w:numPr>
          <w:ilvl w:val="1"/>
          <w:numId w:val="16"/>
        </w:numPr>
        <w:ind w:right="-333"/>
        <w:jc w:val="both"/>
        <w:rPr>
          <w:rFonts w:cs="Arial"/>
        </w:rPr>
      </w:pPr>
      <w:r w:rsidRPr="00574F45">
        <w:rPr>
          <w:rFonts w:cs="Arial"/>
          <w:b/>
          <w:bCs/>
          <w:u w:val="single"/>
        </w:rPr>
        <w:t>Annexe 1b</w:t>
      </w:r>
      <w:r w:rsidRPr="00574F45">
        <w:rPr>
          <w:rFonts w:cs="Arial"/>
        </w:rPr>
        <w:t xml:space="preserve"> : Fiche d’identification </w:t>
      </w:r>
      <w:r w:rsidR="00631FB2">
        <w:rPr>
          <w:rFonts w:cs="Arial"/>
        </w:rPr>
        <w:t>de l’</w:t>
      </w:r>
      <w:r w:rsidRPr="00574F45">
        <w:rPr>
          <w:rFonts w:cs="Arial"/>
        </w:rPr>
        <w:t>ESMS</w:t>
      </w:r>
      <w:r w:rsidR="00432036">
        <w:rPr>
          <w:rFonts w:cs="Arial"/>
        </w:rPr>
        <w:t xml:space="preserve"> entrant dans le périmètre du contrat</w:t>
      </w:r>
    </w:p>
    <w:p w14:paraId="1DA6CB9B" w14:textId="77777777" w:rsidR="00C642AC" w:rsidRPr="00473B51" w:rsidRDefault="00C642AC" w:rsidP="003D3D43">
      <w:pPr>
        <w:ind w:right="-333"/>
        <w:jc w:val="both"/>
        <w:rPr>
          <w:rFonts w:cs="Arial"/>
        </w:rPr>
      </w:pPr>
    </w:p>
    <w:p w14:paraId="22DDBD20" w14:textId="1E955E54" w:rsidR="00C642AC" w:rsidRPr="00473B51" w:rsidRDefault="00C642AC" w:rsidP="00A33994">
      <w:pPr>
        <w:pStyle w:val="Paragraphedeliste"/>
        <w:numPr>
          <w:ilvl w:val="0"/>
          <w:numId w:val="16"/>
        </w:numPr>
        <w:ind w:right="-333"/>
        <w:jc w:val="both"/>
        <w:rPr>
          <w:rFonts w:cs="Arial"/>
        </w:rPr>
      </w:pPr>
      <w:r w:rsidRPr="00473B51">
        <w:rPr>
          <w:rFonts w:cs="Arial"/>
          <w:b/>
          <w:bCs/>
          <w:u w:val="single"/>
        </w:rPr>
        <w:t>Annexe 2</w:t>
      </w:r>
      <w:r w:rsidRPr="00473B51">
        <w:rPr>
          <w:rFonts w:cs="Arial"/>
        </w:rPr>
        <w:t xml:space="preserve"> : Diagnostic partagé</w:t>
      </w:r>
    </w:p>
    <w:p w14:paraId="2FAD2781" w14:textId="5006E309" w:rsidR="00C642AC" w:rsidRPr="00473B51" w:rsidRDefault="00C642AC" w:rsidP="00A33994">
      <w:pPr>
        <w:pStyle w:val="Paragraphedeliste"/>
        <w:numPr>
          <w:ilvl w:val="1"/>
          <w:numId w:val="8"/>
        </w:numPr>
        <w:ind w:right="-333"/>
        <w:jc w:val="both"/>
        <w:rPr>
          <w:rFonts w:cs="Arial"/>
        </w:rPr>
      </w:pPr>
      <w:r w:rsidRPr="00473B51">
        <w:rPr>
          <w:rFonts w:cs="Arial"/>
          <w:b/>
          <w:bCs/>
          <w:u w:val="single"/>
        </w:rPr>
        <w:t>Annexe 2a</w:t>
      </w:r>
      <w:r w:rsidRPr="00473B51">
        <w:rPr>
          <w:rFonts w:cs="Arial"/>
        </w:rPr>
        <w:t xml:space="preserve"> : Diagnostic </w:t>
      </w:r>
      <w:r w:rsidR="00EF22CE">
        <w:rPr>
          <w:rFonts w:cs="Arial"/>
        </w:rPr>
        <w:t>partagé</w:t>
      </w:r>
      <w:r w:rsidRPr="00473B51">
        <w:rPr>
          <w:rFonts w:cs="Arial"/>
        </w:rPr>
        <w:t xml:space="preserve"> OG</w:t>
      </w:r>
    </w:p>
    <w:p w14:paraId="20D14027" w14:textId="33996485" w:rsidR="00C642AC" w:rsidRPr="00473B51" w:rsidRDefault="00C642AC" w:rsidP="00A33994">
      <w:pPr>
        <w:pStyle w:val="Paragraphedeliste"/>
        <w:numPr>
          <w:ilvl w:val="1"/>
          <w:numId w:val="8"/>
        </w:numPr>
        <w:ind w:right="-333"/>
        <w:jc w:val="both"/>
        <w:rPr>
          <w:rFonts w:cs="Arial"/>
        </w:rPr>
      </w:pPr>
      <w:r w:rsidRPr="00473B51">
        <w:rPr>
          <w:rFonts w:cs="Arial"/>
          <w:b/>
          <w:bCs/>
          <w:u w:val="single"/>
        </w:rPr>
        <w:t>Annexe 2b</w:t>
      </w:r>
      <w:r w:rsidRPr="00473B51">
        <w:rPr>
          <w:rFonts w:cs="Arial"/>
        </w:rPr>
        <w:t xml:space="preserve"> : Diagnostic </w:t>
      </w:r>
      <w:r w:rsidR="00EF22CE">
        <w:rPr>
          <w:rFonts w:cs="Arial"/>
        </w:rPr>
        <w:t>partagé ESMS</w:t>
      </w:r>
    </w:p>
    <w:p w14:paraId="1696EC2A" w14:textId="77777777" w:rsidR="00C642AC" w:rsidRPr="00473B51" w:rsidRDefault="00C642AC" w:rsidP="003D3D43">
      <w:pPr>
        <w:ind w:right="-333"/>
        <w:jc w:val="both"/>
        <w:rPr>
          <w:rFonts w:cs="Arial"/>
        </w:rPr>
      </w:pPr>
    </w:p>
    <w:p w14:paraId="36EED27D" w14:textId="637CB8E8" w:rsidR="00C642AC" w:rsidRPr="00473B51" w:rsidRDefault="00C642AC" w:rsidP="00A33994">
      <w:pPr>
        <w:pStyle w:val="Paragraphedeliste"/>
        <w:numPr>
          <w:ilvl w:val="0"/>
          <w:numId w:val="17"/>
        </w:numPr>
        <w:ind w:right="-333"/>
        <w:jc w:val="both"/>
        <w:rPr>
          <w:rFonts w:cs="Arial"/>
        </w:rPr>
      </w:pPr>
      <w:r w:rsidRPr="00473B51">
        <w:rPr>
          <w:rFonts w:cs="Arial"/>
          <w:b/>
          <w:bCs/>
          <w:u w:val="single"/>
        </w:rPr>
        <w:t>Annexe 3</w:t>
      </w:r>
      <w:r w:rsidRPr="00473B51">
        <w:rPr>
          <w:rFonts w:cs="Arial"/>
        </w:rPr>
        <w:t xml:space="preserve"> : Synthèse et objectifs</w:t>
      </w:r>
    </w:p>
    <w:p w14:paraId="030DC6FA" w14:textId="77777777" w:rsidR="00C642AC" w:rsidRPr="00473B51" w:rsidRDefault="00C642AC" w:rsidP="003D3D43">
      <w:pPr>
        <w:ind w:right="-333"/>
        <w:jc w:val="both"/>
        <w:rPr>
          <w:rFonts w:cs="Arial"/>
        </w:rPr>
      </w:pPr>
    </w:p>
    <w:p w14:paraId="392D118D" w14:textId="6FD02B8A" w:rsidR="00C642AC" w:rsidRPr="00473B51" w:rsidRDefault="00C642AC" w:rsidP="00A33994">
      <w:pPr>
        <w:pStyle w:val="Paragraphedeliste"/>
        <w:numPr>
          <w:ilvl w:val="0"/>
          <w:numId w:val="17"/>
        </w:numPr>
        <w:ind w:right="-333"/>
        <w:jc w:val="both"/>
        <w:rPr>
          <w:rFonts w:cs="Arial"/>
        </w:rPr>
      </w:pPr>
      <w:r w:rsidRPr="00473B51">
        <w:rPr>
          <w:rFonts w:cs="Arial"/>
          <w:b/>
          <w:bCs/>
          <w:u w:val="single"/>
        </w:rPr>
        <w:t>Annexe 4</w:t>
      </w:r>
      <w:r w:rsidRPr="00473B51">
        <w:rPr>
          <w:rFonts w:cs="Arial"/>
        </w:rPr>
        <w:t xml:space="preserve"> : </w:t>
      </w:r>
      <w:r w:rsidR="00EB5FE1" w:rsidRPr="00473B51">
        <w:rPr>
          <w:rFonts w:cs="Arial"/>
        </w:rPr>
        <w:t>F</w:t>
      </w:r>
      <w:r w:rsidRPr="00473B51">
        <w:rPr>
          <w:rFonts w:cs="Arial"/>
        </w:rPr>
        <w:t xml:space="preserve">iche actions      </w:t>
      </w:r>
    </w:p>
    <w:p w14:paraId="22A99ECF" w14:textId="7C9323C2" w:rsidR="00EB5FE1" w:rsidRPr="00473B51" w:rsidRDefault="00EB5FE1" w:rsidP="003D3D43">
      <w:pPr>
        <w:ind w:right="-333"/>
        <w:jc w:val="both"/>
        <w:rPr>
          <w:rFonts w:cs="Arial"/>
        </w:rPr>
      </w:pPr>
    </w:p>
    <w:p w14:paraId="36E0459A" w14:textId="7B0BB276" w:rsidR="00EB5FE1" w:rsidRPr="00473B51" w:rsidRDefault="00EB5FE1" w:rsidP="003D3D43">
      <w:pPr>
        <w:jc w:val="both"/>
        <w:rPr>
          <w:rFonts w:cs="Arial"/>
          <w:b/>
          <w:bCs/>
        </w:rPr>
      </w:pPr>
      <w:r w:rsidRPr="00473B51">
        <w:rPr>
          <w:rFonts w:cs="Arial"/>
          <w:b/>
          <w:bCs/>
        </w:rPr>
        <w:t xml:space="preserve">Les annexes </w:t>
      </w:r>
      <w:r w:rsidR="00631FB2">
        <w:rPr>
          <w:rFonts w:cs="Arial"/>
          <w:b/>
          <w:bCs/>
        </w:rPr>
        <w:t>5 à 9</w:t>
      </w:r>
      <w:r w:rsidRPr="00473B51">
        <w:rPr>
          <w:rFonts w:cs="Arial"/>
          <w:b/>
          <w:bCs/>
        </w:rPr>
        <w:t xml:space="preserve"> sont obligatoirement annexées au contrat, mais elles ne sont pas produites spécifiquement pour le CPOM :</w:t>
      </w:r>
    </w:p>
    <w:p w14:paraId="40463FFE" w14:textId="77777777" w:rsidR="00EB5FE1" w:rsidRPr="00473B51" w:rsidRDefault="00EB5FE1" w:rsidP="003D3D43">
      <w:pPr>
        <w:jc w:val="both"/>
        <w:rPr>
          <w:rFonts w:cs="Arial"/>
          <w:b/>
          <w:bCs/>
        </w:rPr>
      </w:pPr>
    </w:p>
    <w:p w14:paraId="7BAAF200" w14:textId="473C3594" w:rsidR="00C642AC" w:rsidRPr="00473B51" w:rsidRDefault="00C642AC" w:rsidP="00A33994">
      <w:pPr>
        <w:pStyle w:val="Paragraphedeliste"/>
        <w:numPr>
          <w:ilvl w:val="0"/>
          <w:numId w:val="18"/>
        </w:numPr>
        <w:ind w:right="-333"/>
        <w:jc w:val="both"/>
        <w:rPr>
          <w:rFonts w:cs="Arial"/>
        </w:rPr>
      </w:pPr>
      <w:r w:rsidRPr="00473B51">
        <w:rPr>
          <w:rFonts w:cs="Arial"/>
          <w:b/>
          <w:bCs/>
          <w:u w:val="single"/>
        </w:rPr>
        <w:t xml:space="preserve">Annexe </w:t>
      </w:r>
      <w:r w:rsidR="002045AD">
        <w:rPr>
          <w:rFonts w:cs="Arial"/>
          <w:b/>
          <w:bCs/>
          <w:u w:val="single"/>
        </w:rPr>
        <w:t>5</w:t>
      </w:r>
      <w:r w:rsidRPr="00473B51">
        <w:rPr>
          <w:rFonts w:cs="Arial"/>
        </w:rPr>
        <w:t xml:space="preserve"> : </w:t>
      </w:r>
      <w:r w:rsidR="00EB5FE1" w:rsidRPr="00473B51">
        <w:rPr>
          <w:rFonts w:cs="Arial"/>
        </w:rPr>
        <w:t>Plan de Global de Financement Pluriannuel (PGFP) et Plan Pluriannuel d’Investissement (PPI)</w:t>
      </w:r>
    </w:p>
    <w:p w14:paraId="2D0B13E6" w14:textId="77777777" w:rsidR="00EB5FE1" w:rsidRPr="00473B51" w:rsidRDefault="00EB5FE1" w:rsidP="003D3D43">
      <w:pPr>
        <w:ind w:right="-333"/>
        <w:jc w:val="both"/>
        <w:rPr>
          <w:rFonts w:cs="Arial"/>
        </w:rPr>
      </w:pPr>
    </w:p>
    <w:p w14:paraId="35F7AFCD" w14:textId="17034BD6" w:rsidR="00EB5FE1" w:rsidRPr="00473B51" w:rsidRDefault="00EB5FE1" w:rsidP="00A33994">
      <w:pPr>
        <w:pStyle w:val="Paragraphedeliste"/>
        <w:numPr>
          <w:ilvl w:val="0"/>
          <w:numId w:val="18"/>
        </w:numPr>
        <w:ind w:right="-333"/>
        <w:jc w:val="both"/>
        <w:rPr>
          <w:rFonts w:cs="Arial"/>
        </w:rPr>
      </w:pPr>
      <w:r w:rsidRPr="00473B51">
        <w:rPr>
          <w:rFonts w:cs="Arial"/>
          <w:b/>
          <w:bCs/>
          <w:u w:val="single"/>
        </w:rPr>
        <w:t xml:space="preserve">Annexe </w:t>
      </w:r>
      <w:r w:rsidR="002045AD">
        <w:rPr>
          <w:rFonts w:cs="Arial"/>
          <w:b/>
          <w:bCs/>
          <w:u w:val="single"/>
        </w:rPr>
        <w:t>6</w:t>
      </w:r>
      <w:r w:rsidRPr="00473B51">
        <w:rPr>
          <w:rFonts w:cs="Arial"/>
        </w:rPr>
        <w:t xml:space="preserve"> : Plan de Retour à l’Équilibre</w:t>
      </w:r>
    </w:p>
    <w:p w14:paraId="6812D1B3" w14:textId="77777777" w:rsidR="00C642AC" w:rsidRPr="00473B51" w:rsidRDefault="00C642AC" w:rsidP="003D3D43">
      <w:pPr>
        <w:ind w:right="-333"/>
        <w:jc w:val="both"/>
        <w:rPr>
          <w:rFonts w:cs="Arial"/>
        </w:rPr>
      </w:pPr>
    </w:p>
    <w:p w14:paraId="3081ACC1" w14:textId="15D35B46" w:rsidR="00C642AC" w:rsidRPr="00473B51" w:rsidRDefault="00C642AC" w:rsidP="00A33994">
      <w:pPr>
        <w:pStyle w:val="Paragraphedeliste"/>
        <w:numPr>
          <w:ilvl w:val="0"/>
          <w:numId w:val="18"/>
        </w:numPr>
        <w:ind w:right="-333"/>
        <w:jc w:val="both"/>
        <w:rPr>
          <w:rFonts w:cs="Arial"/>
        </w:rPr>
      </w:pPr>
      <w:r w:rsidRPr="00473B51">
        <w:rPr>
          <w:rFonts w:cs="Arial"/>
          <w:b/>
          <w:bCs/>
          <w:u w:val="single"/>
        </w:rPr>
        <w:t xml:space="preserve">Annexe </w:t>
      </w:r>
      <w:r w:rsidR="002045AD">
        <w:rPr>
          <w:rFonts w:cs="Arial"/>
          <w:b/>
          <w:bCs/>
          <w:u w:val="single"/>
        </w:rPr>
        <w:t>7</w:t>
      </w:r>
      <w:r w:rsidRPr="00473B51">
        <w:rPr>
          <w:rFonts w:cs="Arial"/>
        </w:rPr>
        <w:t xml:space="preserve"> :  Convention d’habilitation à l’aide sociale territoriale</w:t>
      </w:r>
      <w:bookmarkEnd w:id="37"/>
    </w:p>
    <w:p w14:paraId="290B041D" w14:textId="26A99F42" w:rsidR="00EB5FE1" w:rsidRPr="00473B51" w:rsidRDefault="00EB5FE1" w:rsidP="003D3D43">
      <w:pPr>
        <w:ind w:right="-333"/>
        <w:jc w:val="both"/>
        <w:rPr>
          <w:rFonts w:cs="Arial"/>
        </w:rPr>
      </w:pPr>
    </w:p>
    <w:p w14:paraId="544F6ED5" w14:textId="7A21C7CE" w:rsidR="00EB5FE1" w:rsidRPr="00473B51" w:rsidRDefault="00EB5FE1" w:rsidP="00A33994">
      <w:pPr>
        <w:pStyle w:val="Paragraphedeliste"/>
        <w:numPr>
          <w:ilvl w:val="0"/>
          <w:numId w:val="18"/>
        </w:numPr>
        <w:ind w:right="-333"/>
        <w:jc w:val="both"/>
        <w:rPr>
          <w:rFonts w:cs="Arial"/>
        </w:rPr>
      </w:pPr>
      <w:r w:rsidRPr="00473B51">
        <w:rPr>
          <w:rFonts w:cs="Arial"/>
          <w:b/>
          <w:bCs/>
          <w:u w:val="single"/>
        </w:rPr>
        <w:t xml:space="preserve">Annexe </w:t>
      </w:r>
      <w:r w:rsidR="002045AD">
        <w:rPr>
          <w:rFonts w:cs="Arial"/>
          <w:b/>
          <w:bCs/>
          <w:u w:val="single"/>
        </w:rPr>
        <w:t>8</w:t>
      </w:r>
      <w:r w:rsidRPr="00473B51">
        <w:rPr>
          <w:rFonts w:cs="Arial"/>
          <w:b/>
          <w:bCs/>
        </w:rPr>
        <w:t xml:space="preserve"> : </w:t>
      </w:r>
      <w:r w:rsidRPr="00473B51">
        <w:rPr>
          <w:rFonts w:cs="Arial"/>
        </w:rPr>
        <w:t>Arrêté portant autorisation des frais de siège</w:t>
      </w:r>
    </w:p>
    <w:p w14:paraId="3BE6D94D" w14:textId="222B2615" w:rsidR="00EB5FE1" w:rsidRPr="00473B51" w:rsidRDefault="00EB5FE1" w:rsidP="003D3D43">
      <w:pPr>
        <w:ind w:right="-333"/>
        <w:jc w:val="both"/>
        <w:rPr>
          <w:rFonts w:cs="Arial"/>
        </w:rPr>
      </w:pPr>
    </w:p>
    <w:p w14:paraId="55224F85" w14:textId="00326346" w:rsidR="00EB5FE1" w:rsidRPr="00473B51" w:rsidRDefault="00EB5FE1" w:rsidP="00A33994">
      <w:pPr>
        <w:pStyle w:val="Paragraphedeliste"/>
        <w:numPr>
          <w:ilvl w:val="0"/>
          <w:numId w:val="18"/>
        </w:numPr>
        <w:ind w:right="-333"/>
        <w:jc w:val="both"/>
        <w:rPr>
          <w:rFonts w:cs="Arial"/>
        </w:rPr>
      </w:pPr>
      <w:r w:rsidRPr="00473B51">
        <w:rPr>
          <w:rFonts w:cs="Arial"/>
          <w:b/>
          <w:bCs/>
          <w:u w:val="single"/>
        </w:rPr>
        <w:t xml:space="preserve">Annexe </w:t>
      </w:r>
      <w:r w:rsidR="002045AD">
        <w:rPr>
          <w:rFonts w:cs="Arial"/>
          <w:b/>
          <w:bCs/>
          <w:u w:val="single"/>
        </w:rPr>
        <w:t>9</w:t>
      </w:r>
      <w:r w:rsidRPr="00473B51">
        <w:rPr>
          <w:rFonts w:cs="Arial"/>
        </w:rPr>
        <w:t xml:space="preserve"> : Éléments de contrats ou convention liant le gestionnaire </w:t>
      </w:r>
      <w:r w:rsidR="00B966B2" w:rsidRPr="00473B51">
        <w:rPr>
          <w:rFonts w:cs="Arial"/>
        </w:rPr>
        <w:t>à d’autres autorités publiques ayant un impact sur la réalisation du CPOM</w:t>
      </w:r>
    </w:p>
    <w:p w14:paraId="44C1D13C" w14:textId="77777777" w:rsidR="00943A7A" w:rsidRPr="00473B51" w:rsidRDefault="00943A7A" w:rsidP="003D3D43">
      <w:pPr>
        <w:ind w:right="-333"/>
        <w:jc w:val="both"/>
        <w:rPr>
          <w:rFonts w:cs="Arial"/>
          <w:b/>
        </w:rPr>
      </w:pPr>
    </w:p>
    <w:bookmarkEnd w:id="38"/>
    <w:p w14:paraId="5A84CADB" w14:textId="38292CD0" w:rsidR="00943A7A" w:rsidRDefault="00943A7A" w:rsidP="00943A7A">
      <w:pPr>
        <w:ind w:right="-333"/>
        <w:jc w:val="both"/>
        <w:rPr>
          <w:rFonts w:cs="Arial"/>
          <w:b/>
        </w:rPr>
      </w:pPr>
    </w:p>
    <w:p w14:paraId="1EA90334" w14:textId="77777777" w:rsidR="00E377EE" w:rsidRDefault="00E377EE" w:rsidP="00943A7A">
      <w:pPr>
        <w:ind w:right="-333"/>
        <w:jc w:val="both"/>
        <w:rPr>
          <w:rFonts w:cs="Arial"/>
          <w:b/>
        </w:rPr>
      </w:pPr>
    </w:p>
    <w:p w14:paraId="4955D32C" w14:textId="77777777" w:rsidR="002045AD" w:rsidRPr="00473B51" w:rsidRDefault="002045AD" w:rsidP="00943A7A">
      <w:pPr>
        <w:ind w:right="-333"/>
        <w:jc w:val="both"/>
        <w:rPr>
          <w:rFonts w:cs="Arial"/>
          <w:b/>
        </w:rPr>
      </w:pPr>
    </w:p>
    <w:p w14:paraId="33670827" w14:textId="77777777" w:rsidR="00943A7A" w:rsidRPr="00473B51" w:rsidRDefault="00943A7A" w:rsidP="00943A7A">
      <w:pPr>
        <w:ind w:right="-333"/>
        <w:jc w:val="both"/>
        <w:rPr>
          <w:rFonts w:cs="Arial"/>
          <w:b/>
        </w:rPr>
      </w:pPr>
    </w:p>
    <w:p w14:paraId="2CCE94E5" w14:textId="5341BEBE" w:rsidR="00545CDD" w:rsidRPr="00473B51" w:rsidRDefault="00545CDD" w:rsidP="00545CDD">
      <w:pPr>
        <w:jc w:val="both"/>
        <w:rPr>
          <w:rFonts w:cs="Arial"/>
        </w:rPr>
      </w:pPr>
      <w:proofErr w:type="gramStart"/>
      <w:r w:rsidRPr="00473B51">
        <w:rPr>
          <w:rFonts w:cs="Arial"/>
        </w:rPr>
        <w:t>Fait le</w:t>
      </w:r>
      <w:proofErr w:type="gramEnd"/>
      <w:r w:rsidRPr="00473B51">
        <w:rPr>
          <w:rFonts w:cs="Arial"/>
        </w:rPr>
        <w:t xml:space="preserve">, </w:t>
      </w:r>
    </w:p>
    <w:p w14:paraId="0C32EE6F" w14:textId="77777777" w:rsidR="00545CDD" w:rsidRPr="00473B51" w:rsidRDefault="00545CDD" w:rsidP="00545CDD">
      <w:pPr>
        <w:jc w:val="both"/>
        <w:rPr>
          <w:rFonts w:cs="Arial"/>
        </w:rPr>
      </w:pPr>
    </w:p>
    <w:bookmarkStart w:id="39" w:name="_heading=h.2bn6wsx" w:colFirst="0" w:colLast="0"/>
    <w:bookmarkEnd w:id="39"/>
    <w:p w14:paraId="18F1D89E" w14:textId="288AC1E5" w:rsidR="00545CDD" w:rsidRPr="00473B51" w:rsidRDefault="00832CAD" w:rsidP="00545CDD">
      <w:pPr>
        <w:jc w:val="both"/>
        <w:rPr>
          <w:rFonts w:cs="Arial"/>
        </w:rPr>
      </w:pPr>
      <w:r w:rsidRPr="00473B51">
        <w:rPr>
          <w:rFonts w:cs="Arial"/>
        </w:rPr>
        <w:object w:dxaOrig="9870" w:dyaOrig="2948" w14:anchorId="503EA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94.6pt;height:147.9pt" o:ole="">
            <v:imagedata r:id="rId16" o:title=""/>
          </v:shape>
          <o:OLEObject Type="Embed" ProgID="Excel.Sheet.12" ShapeID="_x0000_i1039" DrawAspect="Content" ObjectID="_1679916601" r:id="rId17"/>
        </w:object>
      </w:r>
    </w:p>
    <w:p w14:paraId="7D7B30A3" w14:textId="6798D710" w:rsidR="00303688" w:rsidRPr="00473B51" w:rsidRDefault="00545CDD" w:rsidP="00483B22">
      <w:pPr>
        <w:pStyle w:val="Titre1"/>
        <w:rPr>
          <w:rFonts w:ascii="Arial" w:hAnsi="Arial" w:cs="Arial"/>
        </w:rPr>
      </w:pPr>
      <w:r w:rsidRPr="00473B51">
        <w:rPr>
          <w:rFonts w:ascii="Arial" w:hAnsi="Arial" w:cs="Arial"/>
        </w:rPr>
        <w:br w:type="page"/>
      </w:r>
    </w:p>
    <w:p w14:paraId="3FEE11A0" w14:textId="77777777" w:rsidR="00995388" w:rsidRPr="003D3D43" w:rsidRDefault="00995388" w:rsidP="003D3D43">
      <w:pPr>
        <w:pStyle w:val="Titre2"/>
        <w:ind w:right="-1"/>
        <w:jc w:val="both"/>
        <w:rPr>
          <w:rFonts w:ascii="Arial" w:hAnsi="Arial" w:cs="Arial"/>
          <w:b/>
          <w:bCs/>
          <w:sz w:val="24"/>
          <w:szCs w:val="24"/>
          <w:u w:val="single"/>
        </w:rPr>
      </w:pPr>
      <w:bookmarkStart w:id="40" w:name="_Toc65052816"/>
      <w:bookmarkStart w:id="41" w:name="_Toc65434103"/>
      <w:bookmarkStart w:id="42" w:name="_Toc69303810"/>
      <w:r w:rsidRPr="003D3D43">
        <w:rPr>
          <w:rFonts w:ascii="Arial" w:hAnsi="Arial" w:cs="Arial"/>
          <w:b/>
          <w:bCs/>
          <w:sz w:val="24"/>
          <w:szCs w:val="24"/>
          <w:u w:val="single"/>
        </w:rPr>
        <w:lastRenderedPageBreak/>
        <w:t>Annexe 1</w:t>
      </w:r>
      <w:r w:rsidRPr="003D3D43">
        <w:rPr>
          <w:rFonts w:ascii="Arial" w:hAnsi="Arial" w:cs="Arial"/>
          <w:b/>
          <w:bCs/>
          <w:sz w:val="24"/>
          <w:szCs w:val="24"/>
        </w:rPr>
        <w:t> : Fiche d’identification présentant les caractéristiques du gestionnaire et/ou des ESMS entrant dans le périmètre du contrat</w:t>
      </w:r>
      <w:bookmarkEnd w:id="40"/>
      <w:bookmarkEnd w:id="41"/>
      <w:bookmarkEnd w:id="42"/>
      <w:r w:rsidRPr="003D3D43">
        <w:rPr>
          <w:rFonts w:ascii="Arial" w:hAnsi="Arial" w:cs="Arial"/>
          <w:b/>
          <w:bCs/>
          <w:sz w:val="24"/>
          <w:szCs w:val="24"/>
          <w:u w:val="single"/>
        </w:rPr>
        <w:t xml:space="preserve"> </w:t>
      </w:r>
    </w:p>
    <w:p w14:paraId="2B270B3B" w14:textId="77777777" w:rsidR="00995388" w:rsidRPr="003D3D43" w:rsidRDefault="00995388" w:rsidP="003D3D43">
      <w:pPr>
        <w:keepLines w:val="0"/>
        <w:pBdr>
          <w:top w:val="nil"/>
          <w:left w:val="nil"/>
          <w:bottom w:val="nil"/>
          <w:right w:val="nil"/>
          <w:between w:val="nil"/>
        </w:pBdr>
        <w:jc w:val="both"/>
        <w:rPr>
          <w:rFonts w:eastAsia="Calibri" w:cs="Arial"/>
          <w:color w:val="000000"/>
          <w:sz w:val="22"/>
          <w:szCs w:val="22"/>
        </w:rPr>
      </w:pPr>
    </w:p>
    <w:p w14:paraId="13E6A3B0" w14:textId="77777777" w:rsidR="00995388" w:rsidRPr="003D3D43" w:rsidRDefault="00995388" w:rsidP="003D3D43">
      <w:pPr>
        <w:ind w:firstLine="720"/>
        <w:jc w:val="both"/>
        <w:rPr>
          <w:rFonts w:cs="Arial"/>
          <w:b/>
          <w:bCs/>
          <w:color w:val="000000" w:themeColor="text1"/>
        </w:rPr>
      </w:pPr>
      <w:r w:rsidRPr="003D3D43">
        <w:rPr>
          <w:rFonts w:cs="Arial"/>
          <w:b/>
          <w:bCs/>
          <w:color w:val="000000" w:themeColor="text1"/>
          <w:u w:val="single"/>
        </w:rPr>
        <w:t>Annexe 1 a</w:t>
      </w:r>
      <w:r w:rsidRPr="003D3D43">
        <w:rPr>
          <w:rFonts w:cs="Arial"/>
          <w:b/>
          <w:bCs/>
          <w:color w:val="000000" w:themeColor="text1"/>
        </w:rPr>
        <w:t>- Fiche d’identification de l’OG et périmètre du contrat</w:t>
      </w:r>
    </w:p>
    <w:p w14:paraId="122254D5" w14:textId="77777777" w:rsidR="00995388" w:rsidRPr="003D3D43" w:rsidRDefault="00995388" w:rsidP="003D3D43">
      <w:pPr>
        <w:keepLines w:val="0"/>
        <w:pBdr>
          <w:top w:val="nil"/>
          <w:left w:val="nil"/>
          <w:bottom w:val="nil"/>
          <w:right w:val="nil"/>
          <w:between w:val="nil"/>
        </w:pBdr>
        <w:jc w:val="both"/>
        <w:rPr>
          <w:rFonts w:eastAsia="Calibri" w:cs="Arial"/>
          <w:b/>
          <w:color w:val="000000"/>
          <w:sz w:val="14"/>
          <w:szCs w:val="14"/>
          <w:u w:val="single"/>
        </w:rPr>
      </w:pPr>
    </w:p>
    <w:p w14:paraId="4A1D2434" w14:textId="4F564402" w:rsidR="00995388" w:rsidRPr="003D3D43" w:rsidRDefault="00995388" w:rsidP="003D3D43">
      <w:pPr>
        <w:keepLines w:val="0"/>
        <w:pBdr>
          <w:top w:val="nil"/>
          <w:left w:val="nil"/>
          <w:bottom w:val="nil"/>
          <w:right w:val="nil"/>
          <w:between w:val="nil"/>
        </w:pBdr>
        <w:jc w:val="both"/>
        <w:rPr>
          <w:rFonts w:eastAsia="Calibri" w:cs="Arial"/>
          <w:color w:val="000000"/>
        </w:rPr>
      </w:pPr>
      <w:r w:rsidRPr="003D3D43">
        <w:rPr>
          <w:rFonts w:eastAsia="Calibri" w:cs="Arial"/>
          <w:color w:val="000000"/>
        </w:rPr>
        <w:t xml:space="preserve">L’OG complète l’annexe 1a située dans l'onglet “Diagnostic partagé OG” du fichier Excel « Outil diagnostic </w:t>
      </w:r>
      <w:r w:rsidR="008C6559" w:rsidRPr="003D3D43">
        <w:rPr>
          <w:rFonts w:eastAsia="Calibri" w:cs="Arial"/>
          <w:color w:val="000000"/>
        </w:rPr>
        <w:t xml:space="preserve">commun </w:t>
      </w:r>
      <w:r w:rsidRPr="003D3D43">
        <w:rPr>
          <w:rFonts w:eastAsia="Calibri" w:cs="Arial"/>
          <w:color w:val="000000"/>
        </w:rPr>
        <w:t>secteur</w:t>
      </w:r>
      <w:r w:rsidR="008C6559" w:rsidRPr="003D3D43">
        <w:rPr>
          <w:rFonts w:eastAsia="Calibri" w:cs="Arial"/>
          <w:color w:val="000000"/>
        </w:rPr>
        <w:t>s</w:t>
      </w:r>
      <w:r w:rsidRPr="003D3D43">
        <w:rPr>
          <w:rFonts w:eastAsia="Calibri" w:cs="Arial"/>
          <w:color w:val="000000"/>
        </w:rPr>
        <w:t xml:space="preserve"> PH et PA »</w:t>
      </w:r>
      <w:r w:rsidR="008C6559" w:rsidRPr="003D3D43">
        <w:rPr>
          <w:rFonts w:eastAsia="Calibri" w:cs="Arial"/>
          <w:color w:val="000000"/>
        </w:rPr>
        <w:t>.</w:t>
      </w:r>
    </w:p>
    <w:p w14:paraId="5B02BAE7" w14:textId="77777777" w:rsidR="00995388" w:rsidRPr="003D3D43" w:rsidRDefault="00995388" w:rsidP="003D3D43">
      <w:pPr>
        <w:keepLines w:val="0"/>
        <w:pBdr>
          <w:top w:val="nil"/>
          <w:left w:val="nil"/>
          <w:bottom w:val="nil"/>
          <w:right w:val="nil"/>
          <w:between w:val="nil"/>
        </w:pBdr>
        <w:jc w:val="both"/>
        <w:rPr>
          <w:rFonts w:eastAsia="Calibri" w:cs="Arial"/>
          <w:b/>
          <w:color w:val="000000"/>
          <w:sz w:val="16"/>
          <w:szCs w:val="16"/>
          <w:u w:val="single"/>
        </w:rPr>
      </w:pPr>
    </w:p>
    <w:p w14:paraId="12C90BDC" w14:textId="43439B21" w:rsidR="00995388" w:rsidRPr="003D3D43" w:rsidRDefault="00995388" w:rsidP="003D3D43">
      <w:pPr>
        <w:ind w:firstLine="720"/>
        <w:jc w:val="both"/>
        <w:rPr>
          <w:rFonts w:cs="Arial"/>
          <w:b/>
          <w:bCs/>
          <w:color w:val="000000" w:themeColor="text1"/>
        </w:rPr>
      </w:pPr>
      <w:bookmarkStart w:id="43" w:name="_Toc65052818"/>
      <w:r w:rsidRPr="003D3D43">
        <w:rPr>
          <w:rFonts w:cs="Arial"/>
          <w:b/>
          <w:bCs/>
          <w:color w:val="000000" w:themeColor="text1"/>
          <w:u w:val="single"/>
        </w:rPr>
        <w:t>Annexe 1 b</w:t>
      </w:r>
      <w:r w:rsidRPr="003D3D43">
        <w:rPr>
          <w:rFonts w:cs="Arial"/>
          <w:b/>
          <w:bCs/>
          <w:color w:val="000000" w:themeColor="text1"/>
        </w:rPr>
        <w:t>- Fiche d’identification de l’ESMS</w:t>
      </w:r>
      <w:bookmarkEnd w:id="43"/>
      <w:r w:rsidR="00F06138" w:rsidRPr="003D3D43">
        <w:rPr>
          <w:rFonts w:cs="Arial"/>
          <w:b/>
          <w:bCs/>
          <w:color w:val="000000" w:themeColor="text1"/>
        </w:rPr>
        <w:t xml:space="preserve"> entrant dans le périmètre du contrat</w:t>
      </w:r>
    </w:p>
    <w:p w14:paraId="45D8A587" w14:textId="77777777" w:rsidR="00995388" w:rsidRPr="003D3D43" w:rsidRDefault="00995388" w:rsidP="003D3D43">
      <w:pPr>
        <w:keepLines w:val="0"/>
        <w:pBdr>
          <w:top w:val="nil"/>
          <w:left w:val="nil"/>
          <w:bottom w:val="nil"/>
          <w:right w:val="nil"/>
          <w:between w:val="nil"/>
        </w:pBdr>
        <w:jc w:val="both"/>
        <w:rPr>
          <w:rFonts w:eastAsia="Calibri" w:cs="Arial"/>
          <w:color w:val="000000"/>
          <w:sz w:val="14"/>
          <w:szCs w:val="14"/>
        </w:rPr>
      </w:pPr>
    </w:p>
    <w:p w14:paraId="23530523" w14:textId="3937EAFB" w:rsidR="00995388" w:rsidRPr="003D3D43" w:rsidRDefault="00995388" w:rsidP="003D3D43">
      <w:pPr>
        <w:keepLines w:val="0"/>
        <w:pBdr>
          <w:top w:val="nil"/>
          <w:left w:val="nil"/>
          <w:bottom w:val="nil"/>
          <w:right w:val="nil"/>
          <w:between w:val="nil"/>
        </w:pBdr>
        <w:jc w:val="both"/>
        <w:rPr>
          <w:rFonts w:eastAsia="Calibri" w:cs="Arial"/>
          <w:color w:val="000000"/>
        </w:rPr>
      </w:pPr>
      <w:r w:rsidRPr="003D3D43">
        <w:rPr>
          <w:rFonts w:eastAsia="Calibri" w:cs="Arial"/>
          <w:color w:val="000000"/>
        </w:rPr>
        <w:t>Le gestionnaire complète autant de fiches que d’ESMS entrant dans le cadre du CPOM.</w:t>
      </w:r>
    </w:p>
    <w:p w14:paraId="20ABC3B1" w14:textId="77777777" w:rsidR="008C6559" w:rsidRPr="003D3D43" w:rsidRDefault="00995388" w:rsidP="003D3D43">
      <w:pPr>
        <w:keepLines w:val="0"/>
        <w:pBdr>
          <w:top w:val="nil"/>
          <w:left w:val="nil"/>
          <w:bottom w:val="nil"/>
          <w:right w:val="nil"/>
          <w:between w:val="nil"/>
        </w:pBdr>
        <w:jc w:val="both"/>
        <w:rPr>
          <w:rFonts w:eastAsia="Calibri" w:cs="Arial"/>
          <w:color w:val="000000"/>
        </w:rPr>
      </w:pPr>
      <w:r w:rsidRPr="003D3D43">
        <w:rPr>
          <w:rFonts w:eastAsia="Calibri" w:cs="Arial"/>
          <w:color w:val="000000"/>
        </w:rPr>
        <w:t xml:space="preserve">La fiche d’identification ESMS est située dans l’onglet “Diagnostic partagé ESMS” du </w:t>
      </w:r>
      <w:sdt>
        <w:sdtPr>
          <w:rPr>
            <w:rFonts w:cs="Arial"/>
          </w:rPr>
          <w:tag w:val="goog_rdk_132"/>
          <w:id w:val="227432143"/>
        </w:sdtPr>
        <w:sdtContent>
          <w:r w:rsidRPr="003D3D43">
            <w:rPr>
              <w:rFonts w:eastAsia="Calibri" w:cs="Arial"/>
              <w:color w:val="000000"/>
            </w:rPr>
            <w:t>fichier</w:t>
          </w:r>
        </w:sdtContent>
      </w:sdt>
      <w:r w:rsidRPr="003D3D43">
        <w:rPr>
          <w:rFonts w:eastAsia="Calibri" w:cs="Arial"/>
          <w:color w:val="000000"/>
        </w:rPr>
        <w:t xml:space="preserve"> Excel </w:t>
      </w:r>
      <w:r w:rsidR="008C6559" w:rsidRPr="003D3D43">
        <w:rPr>
          <w:rFonts w:eastAsia="Calibri" w:cs="Arial"/>
          <w:color w:val="000000"/>
        </w:rPr>
        <w:t>« Outil diagnostic commun secteurs PH et PA ».</w:t>
      </w:r>
    </w:p>
    <w:p w14:paraId="2A61B398" w14:textId="787F24C7" w:rsidR="00995388" w:rsidRPr="003D3D43" w:rsidRDefault="00995388" w:rsidP="003D3D43">
      <w:pPr>
        <w:keepLines w:val="0"/>
        <w:pBdr>
          <w:top w:val="nil"/>
          <w:left w:val="nil"/>
          <w:bottom w:val="nil"/>
          <w:right w:val="nil"/>
          <w:between w:val="nil"/>
        </w:pBdr>
        <w:jc w:val="both"/>
        <w:rPr>
          <w:rFonts w:eastAsia="Calibri" w:cs="Arial"/>
          <w:b/>
          <w:bCs/>
          <w:color w:val="000000"/>
        </w:rPr>
      </w:pPr>
    </w:p>
    <w:p w14:paraId="5C39E269" w14:textId="77777777" w:rsidR="00995388" w:rsidRPr="003D3D43" w:rsidRDefault="00995388" w:rsidP="003D3D43">
      <w:pPr>
        <w:pStyle w:val="Titre2"/>
        <w:jc w:val="both"/>
        <w:rPr>
          <w:rFonts w:ascii="Arial" w:hAnsi="Arial" w:cs="Arial"/>
          <w:b/>
          <w:bCs/>
          <w:sz w:val="24"/>
          <w:szCs w:val="24"/>
        </w:rPr>
      </w:pPr>
      <w:bookmarkStart w:id="44" w:name="_Toc65052819"/>
      <w:bookmarkStart w:id="45" w:name="_Toc65434104"/>
      <w:bookmarkStart w:id="46" w:name="_Toc69303811"/>
      <w:r w:rsidRPr="003D3D43">
        <w:rPr>
          <w:rFonts w:ascii="Arial" w:hAnsi="Arial" w:cs="Arial"/>
          <w:b/>
          <w:bCs/>
          <w:sz w:val="24"/>
          <w:szCs w:val="24"/>
          <w:u w:val="single"/>
        </w:rPr>
        <w:t>Annexe 2</w:t>
      </w:r>
      <w:r w:rsidRPr="003D3D43">
        <w:rPr>
          <w:rFonts w:ascii="Arial" w:hAnsi="Arial" w:cs="Arial"/>
          <w:b/>
          <w:bCs/>
          <w:sz w:val="24"/>
          <w:szCs w:val="24"/>
        </w:rPr>
        <w:t xml:space="preserve"> : Diagnostic partagé</w:t>
      </w:r>
      <w:bookmarkEnd w:id="44"/>
      <w:bookmarkEnd w:id="45"/>
      <w:bookmarkEnd w:id="46"/>
    </w:p>
    <w:p w14:paraId="33AFC6FD" w14:textId="77777777" w:rsidR="00995388" w:rsidRPr="003D3D43" w:rsidRDefault="00995388" w:rsidP="003D3D43">
      <w:pPr>
        <w:jc w:val="both"/>
        <w:rPr>
          <w:rFonts w:cs="Arial"/>
        </w:rPr>
      </w:pPr>
    </w:p>
    <w:p w14:paraId="7971A083" w14:textId="77777777" w:rsidR="00995388" w:rsidRPr="003D3D43" w:rsidRDefault="00995388" w:rsidP="003D3D43">
      <w:pPr>
        <w:ind w:firstLine="720"/>
        <w:jc w:val="both"/>
        <w:rPr>
          <w:rFonts w:cs="Arial"/>
          <w:b/>
          <w:bCs/>
          <w:color w:val="000000" w:themeColor="text1"/>
        </w:rPr>
      </w:pPr>
      <w:r w:rsidRPr="003D3D43">
        <w:rPr>
          <w:rFonts w:cs="Arial"/>
          <w:b/>
          <w:bCs/>
          <w:color w:val="000000" w:themeColor="text1"/>
          <w:u w:val="single"/>
        </w:rPr>
        <w:t>Annexe 2a</w:t>
      </w:r>
      <w:r w:rsidRPr="003D3D43">
        <w:rPr>
          <w:rFonts w:cs="Arial"/>
          <w:b/>
          <w:bCs/>
          <w:color w:val="000000" w:themeColor="text1"/>
        </w:rPr>
        <w:t>- Diagnostic partagé OG</w:t>
      </w:r>
    </w:p>
    <w:p w14:paraId="1727C22B" w14:textId="77777777" w:rsidR="00995388" w:rsidRPr="003D3D43" w:rsidRDefault="00995388" w:rsidP="003D3D43">
      <w:pPr>
        <w:jc w:val="both"/>
        <w:rPr>
          <w:rFonts w:cs="Arial"/>
          <w:sz w:val="10"/>
          <w:szCs w:val="10"/>
        </w:rPr>
      </w:pPr>
    </w:p>
    <w:p w14:paraId="5A5AF14C" w14:textId="77777777" w:rsidR="008C6559" w:rsidRPr="003D3D43" w:rsidRDefault="00995388" w:rsidP="003D3D43">
      <w:pPr>
        <w:keepLines w:val="0"/>
        <w:pBdr>
          <w:top w:val="nil"/>
          <w:left w:val="nil"/>
          <w:bottom w:val="nil"/>
          <w:right w:val="nil"/>
          <w:between w:val="nil"/>
        </w:pBdr>
        <w:jc w:val="both"/>
        <w:rPr>
          <w:rFonts w:eastAsia="Calibri" w:cs="Arial"/>
          <w:color w:val="000000"/>
        </w:rPr>
      </w:pPr>
      <w:r w:rsidRPr="003D3D43">
        <w:rPr>
          <w:rFonts w:eastAsia="Calibri" w:cs="Arial"/>
          <w:color w:val="000000"/>
        </w:rPr>
        <w:t xml:space="preserve">L’OG renseigne l’onglet “Diagnostic OG” du fichier Excel </w:t>
      </w:r>
      <w:r w:rsidR="008C6559" w:rsidRPr="003D3D43">
        <w:rPr>
          <w:rFonts w:eastAsia="Calibri" w:cs="Arial"/>
          <w:color w:val="000000"/>
        </w:rPr>
        <w:t>« Outil diagnostic commun secteurs PH et PA ».</w:t>
      </w:r>
    </w:p>
    <w:p w14:paraId="6B50B9C5" w14:textId="6DE7DA08" w:rsidR="00995388" w:rsidRPr="003D3D43" w:rsidRDefault="00995388" w:rsidP="003D3D43">
      <w:pPr>
        <w:keepLines w:val="0"/>
        <w:pBdr>
          <w:top w:val="nil"/>
          <w:left w:val="nil"/>
          <w:bottom w:val="nil"/>
          <w:right w:val="nil"/>
          <w:between w:val="nil"/>
        </w:pBdr>
        <w:jc w:val="both"/>
        <w:rPr>
          <w:rFonts w:eastAsia="Calibri" w:cs="Arial"/>
          <w:color w:val="000000"/>
        </w:rPr>
      </w:pPr>
    </w:p>
    <w:p w14:paraId="12F3A5B8" w14:textId="77777777" w:rsidR="00995388" w:rsidRPr="003D3D43" w:rsidRDefault="00995388" w:rsidP="003D3D43">
      <w:pPr>
        <w:keepLines w:val="0"/>
        <w:pBdr>
          <w:top w:val="nil"/>
          <w:left w:val="nil"/>
          <w:bottom w:val="nil"/>
          <w:right w:val="nil"/>
          <w:between w:val="nil"/>
        </w:pBdr>
        <w:jc w:val="both"/>
        <w:rPr>
          <w:rFonts w:eastAsia="Calibri" w:cs="Arial"/>
          <w:color w:val="000000"/>
          <w:sz w:val="8"/>
          <w:szCs w:val="8"/>
        </w:rPr>
      </w:pPr>
    </w:p>
    <w:p w14:paraId="28292DBB" w14:textId="77777777" w:rsidR="00995388" w:rsidRPr="003D3D43" w:rsidRDefault="00995388" w:rsidP="003D3D43">
      <w:pPr>
        <w:ind w:firstLine="720"/>
        <w:jc w:val="both"/>
        <w:rPr>
          <w:rFonts w:cs="Arial"/>
          <w:b/>
          <w:bCs/>
          <w:color w:val="000000" w:themeColor="text1"/>
        </w:rPr>
      </w:pPr>
      <w:r w:rsidRPr="003D3D43">
        <w:rPr>
          <w:rFonts w:cs="Arial"/>
          <w:b/>
          <w:bCs/>
          <w:color w:val="000000" w:themeColor="text1"/>
          <w:u w:val="single"/>
        </w:rPr>
        <w:t>Annexe 2b</w:t>
      </w:r>
      <w:r w:rsidRPr="003D3D43">
        <w:rPr>
          <w:rFonts w:cs="Arial"/>
          <w:b/>
          <w:bCs/>
          <w:color w:val="000000" w:themeColor="text1"/>
        </w:rPr>
        <w:t>- Diagnostic partagé ESMS</w:t>
      </w:r>
    </w:p>
    <w:p w14:paraId="4ECC2704" w14:textId="77777777" w:rsidR="00995388" w:rsidRPr="003D3D43" w:rsidRDefault="00995388" w:rsidP="003D3D43">
      <w:pPr>
        <w:jc w:val="both"/>
        <w:rPr>
          <w:rFonts w:cs="Arial"/>
          <w:sz w:val="12"/>
          <w:szCs w:val="12"/>
        </w:rPr>
      </w:pPr>
    </w:p>
    <w:p w14:paraId="17DEA632" w14:textId="77777777" w:rsidR="008C6559" w:rsidRPr="003D3D43" w:rsidRDefault="00995388" w:rsidP="003D3D43">
      <w:pPr>
        <w:keepLines w:val="0"/>
        <w:pBdr>
          <w:top w:val="nil"/>
          <w:left w:val="nil"/>
          <w:bottom w:val="nil"/>
          <w:right w:val="nil"/>
          <w:between w:val="nil"/>
        </w:pBdr>
        <w:jc w:val="both"/>
        <w:rPr>
          <w:rFonts w:eastAsia="Calibri" w:cs="Arial"/>
          <w:color w:val="000000"/>
        </w:rPr>
      </w:pPr>
      <w:r w:rsidRPr="003D3D43">
        <w:rPr>
          <w:rFonts w:cs="Arial"/>
        </w:rPr>
        <w:t xml:space="preserve">L’ESMS renseigne l’onglet </w:t>
      </w:r>
      <w:r w:rsidRPr="003D3D43">
        <w:rPr>
          <w:rFonts w:eastAsia="Calibri" w:cs="Arial"/>
          <w:color w:val="000000"/>
          <w:sz w:val="22"/>
          <w:szCs w:val="22"/>
        </w:rPr>
        <w:t>“</w:t>
      </w:r>
      <w:r w:rsidRPr="003D3D43">
        <w:rPr>
          <w:rFonts w:cs="Arial"/>
        </w:rPr>
        <w:t>Diagnostic ESMS</w:t>
      </w:r>
      <w:r w:rsidRPr="003D3D43">
        <w:rPr>
          <w:rFonts w:eastAsia="Calibri" w:cs="Arial"/>
          <w:color w:val="000000"/>
          <w:sz w:val="22"/>
          <w:szCs w:val="22"/>
        </w:rPr>
        <w:t>”</w:t>
      </w:r>
      <w:r w:rsidRPr="003D3D43">
        <w:rPr>
          <w:rFonts w:cs="Arial"/>
        </w:rPr>
        <w:t xml:space="preserve"> du fichier Excel </w:t>
      </w:r>
      <w:r w:rsidR="008C6559" w:rsidRPr="003D3D43">
        <w:rPr>
          <w:rFonts w:eastAsia="Calibri" w:cs="Arial"/>
          <w:color w:val="000000"/>
        </w:rPr>
        <w:t>« Outil diagnostic commun secteurs PH et PA ».</w:t>
      </w:r>
    </w:p>
    <w:p w14:paraId="38E24E6F" w14:textId="539A95E5" w:rsidR="00995388" w:rsidRPr="003D3D43" w:rsidRDefault="00995388" w:rsidP="003D3D43">
      <w:pPr>
        <w:jc w:val="both"/>
        <w:rPr>
          <w:rFonts w:cs="Arial"/>
        </w:rPr>
      </w:pPr>
    </w:p>
    <w:p w14:paraId="1CA14640" w14:textId="77777777" w:rsidR="00995388" w:rsidRPr="003D3D43" w:rsidRDefault="00995388" w:rsidP="003D3D43">
      <w:pPr>
        <w:pStyle w:val="Titre2"/>
        <w:jc w:val="both"/>
        <w:rPr>
          <w:rFonts w:ascii="Arial" w:hAnsi="Arial" w:cs="Arial"/>
          <w:b/>
          <w:bCs/>
          <w:sz w:val="24"/>
          <w:szCs w:val="24"/>
          <w:u w:val="single"/>
        </w:rPr>
      </w:pPr>
      <w:bookmarkStart w:id="47" w:name="_Toc65052822"/>
      <w:bookmarkStart w:id="48" w:name="_Toc65434105"/>
      <w:bookmarkStart w:id="49" w:name="_Toc69303812"/>
      <w:r w:rsidRPr="003D3D43">
        <w:rPr>
          <w:rFonts w:ascii="Arial" w:hAnsi="Arial" w:cs="Arial"/>
          <w:b/>
          <w:bCs/>
          <w:sz w:val="24"/>
          <w:szCs w:val="24"/>
          <w:u w:val="single"/>
        </w:rPr>
        <w:t>Annexe 3</w:t>
      </w:r>
      <w:r w:rsidRPr="003D3D43">
        <w:rPr>
          <w:rFonts w:ascii="Arial" w:hAnsi="Arial" w:cs="Arial"/>
          <w:b/>
          <w:bCs/>
          <w:sz w:val="24"/>
          <w:szCs w:val="24"/>
        </w:rPr>
        <w:t xml:space="preserve"> : Synthèse et objectifs</w:t>
      </w:r>
      <w:bookmarkEnd w:id="47"/>
      <w:bookmarkEnd w:id="48"/>
      <w:bookmarkEnd w:id="49"/>
    </w:p>
    <w:p w14:paraId="7210C769" w14:textId="77777777" w:rsidR="00995388" w:rsidRPr="003D3D43" w:rsidRDefault="00995388" w:rsidP="003D3D43">
      <w:pPr>
        <w:jc w:val="both"/>
        <w:rPr>
          <w:rFonts w:cs="Arial"/>
        </w:rPr>
      </w:pPr>
    </w:p>
    <w:p w14:paraId="6ABE3C4E" w14:textId="07AD8D49" w:rsidR="008C6559" w:rsidRPr="003D3D43" w:rsidRDefault="00631FB2" w:rsidP="003D3D43">
      <w:pPr>
        <w:keepLines w:val="0"/>
        <w:pBdr>
          <w:top w:val="nil"/>
          <w:left w:val="nil"/>
          <w:bottom w:val="nil"/>
          <w:right w:val="nil"/>
          <w:between w:val="nil"/>
        </w:pBdr>
        <w:jc w:val="both"/>
        <w:rPr>
          <w:rFonts w:eastAsia="Calibri" w:cs="Arial"/>
          <w:color w:val="000000"/>
        </w:rPr>
      </w:pPr>
      <w:r>
        <w:rPr>
          <w:rFonts w:eastAsia="Calibri" w:cs="Arial"/>
          <w:color w:val="000000"/>
        </w:rPr>
        <w:t>Le gestionnaire</w:t>
      </w:r>
      <w:r w:rsidR="00995388" w:rsidRPr="003D3D43">
        <w:rPr>
          <w:rFonts w:eastAsia="Calibri" w:cs="Arial"/>
          <w:color w:val="000000"/>
        </w:rPr>
        <w:t xml:space="preserve"> renseigne l’onglet “Synthèse et objectifs</w:t>
      </w:r>
      <w:r w:rsidR="004577C6" w:rsidRPr="003D3D43">
        <w:rPr>
          <w:rFonts w:eastAsia="Calibri" w:cs="Arial"/>
          <w:color w:val="000000"/>
        </w:rPr>
        <w:t xml:space="preserve"> OG- ESMS</w:t>
      </w:r>
      <w:r w:rsidR="00995388" w:rsidRPr="003D3D43">
        <w:rPr>
          <w:rFonts w:eastAsia="Calibri" w:cs="Arial"/>
          <w:color w:val="000000"/>
        </w:rPr>
        <w:t xml:space="preserve">” du fichier Excel </w:t>
      </w:r>
      <w:r w:rsidR="008C6559" w:rsidRPr="003D3D43">
        <w:rPr>
          <w:rFonts w:eastAsia="Calibri" w:cs="Arial"/>
          <w:color w:val="000000"/>
        </w:rPr>
        <w:t>« Outil diagnostic commun secteurs PH et PA ».</w:t>
      </w:r>
    </w:p>
    <w:p w14:paraId="4639BB64" w14:textId="1F1C680C" w:rsidR="00995388" w:rsidRPr="003D3D43" w:rsidRDefault="00995388" w:rsidP="003D3D43">
      <w:pPr>
        <w:keepLines w:val="0"/>
        <w:pBdr>
          <w:top w:val="nil"/>
          <w:left w:val="nil"/>
          <w:bottom w:val="nil"/>
          <w:right w:val="nil"/>
          <w:between w:val="nil"/>
        </w:pBdr>
        <w:jc w:val="both"/>
        <w:rPr>
          <w:rFonts w:eastAsia="Calibri" w:cs="Arial"/>
          <w:color w:val="000000"/>
        </w:rPr>
      </w:pPr>
    </w:p>
    <w:p w14:paraId="2005FBA3" w14:textId="19BC3A64" w:rsidR="00995388" w:rsidRPr="003D3D43" w:rsidRDefault="00995388" w:rsidP="003D3D43">
      <w:pPr>
        <w:pStyle w:val="Titre2"/>
        <w:jc w:val="both"/>
        <w:rPr>
          <w:rFonts w:ascii="Arial" w:hAnsi="Arial" w:cs="Arial"/>
          <w:b/>
          <w:bCs/>
          <w:sz w:val="24"/>
          <w:szCs w:val="24"/>
          <w:u w:val="single"/>
        </w:rPr>
      </w:pPr>
      <w:bookmarkStart w:id="50" w:name="_Toc65434106"/>
      <w:bookmarkStart w:id="51" w:name="_Toc65052823"/>
      <w:bookmarkStart w:id="52" w:name="_Toc69303813"/>
      <w:r w:rsidRPr="003D3D43">
        <w:rPr>
          <w:rFonts w:ascii="Arial" w:hAnsi="Arial" w:cs="Arial"/>
          <w:b/>
          <w:bCs/>
          <w:sz w:val="24"/>
          <w:szCs w:val="24"/>
          <w:u w:val="single"/>
        </w:rPr>
        <w:t>Annexe 4</w:t>
      </w:r>
      <w:r w:rsidRPr="003D3D43">
        <w:rPr>
          <w:rFonts w:ascii="Arial" w:hAnsi="Arial" w:cs="Arial"/>
          <w:b/>
          <w:bCs/>
          <w:sz w:val="24"/>
          <w:szCs w:val="24"/>
        </w:rPr>
        <w:t> : Fiche actions</w:t>
      </w:r>
      <w:bookmarkEnd w:id="50"/>
      <w:bookmarkEnd w:id="52"/>
      <w:r w:rsidRPr="003D3D43">
        <w:rPr>
          <w:rFonts w:ascii="Arial" w:hAnsi="Arial" w:cs="Arial"/>
          <w:b/>
          <w:bCs/>
          <w:sz w:val="24"/>
          <w:szCs w:val="24"/>
          <w:u w:val="single"/>
        </w:rPr>
        <w:t xml:space="preserve"> </w:t>
      </w:r>
      <w:bookmarkEnd w:id="51"/>
    </w:p>
    <w:p w14:paraId="20934EB8" w14:textId="77777777" w:rsidR="00995388" w:rsidRPr="003D3D43" w:rsidRDefault="00995388" w:rsidP="003D3D43">
      <w:pPr>
        <w:jc w:val="both"/>
        <w:rPr>
          <w:rFonts w:eastAsiaTheme="majorEastAsia" w:cs="Arial"/>
          <w:b/>
          <w:bCs/>
          <w:color w:val="4472C4" w:themeColor="accent1"/>
          <w:sz w:val="16"/>
          <w:szCs w:val="16"/>
          <w:u w:val="single"/>
        </w:rPr>
      </w:pPr>
    </w:p>
    <w:p w14:paraId="254C7194" w14:textId="79F2510E" w:rsidR="008C6559" w:rsidRPr="003D3D43" w:rsidRDefault="00995388" w:rsidP="003D3D43">
      <w:pPr>
        <w:keepLines w:val="0"/>
        <w:pBdr>
          <w:top w:val="nil"/>
          <w:left w:val="nil"/>
          <w:bottom w:val="nil"/>
          <w:right w:val="nil"/>
          <w:between w:val="nil"/>
        </w:pBdr>
        <w:jc w:val="both"/>
        <w:rPr>
          <w:rFonts w:eastAsia="Calibri" w:cs="Arial"/>
          <w:color w:val="000000"/>
        </w:rPr>
      </w:pPr>
      <w:r w:rsidRPr="003D3D43">
        <w:rPr>
          <w:rFonts w:cs="Arial"/>
        </w:rPr>
        <w:t>L</w:t>
      </w:r>
      <w:r w:rsidR="00631FB2">
        <w:rPr>
          <w:rFonts w:cs="Arial"/>
        </w:rPr>
        <w:t xml:space="preserve">e gestionnaire </w:t>
      </w:r>
      <w:r w:rsidRPr="003D3D43">
        <w:rPr>
          <w:rFonts w:cs="Arial"/>
        </w:rPr>
        <w:t>renseigne la fiche</w:t>
      </w:r>
      <w:r w:rsidR="004577C6" w:rsidRPr="003D3D43">
        <w:rPr>
          <w:rFonts w:cs="Arial"/>
        </w:rPr>
        <w:t xml:space="preserve"> située dans l’onglet</w:t>
      </w:r>
      <w:r w:rsidRPr="003D3D43">
        <w:rPr>
          <w:rFonts w:cs="Arial"/>
        </w:rPr>
        <w:t xml:space="preserve"> “</w:t>
      </w:r>
      <w:r w:rsidR="004577C6" w:rsidRPr="003D3D43">
        <w:rPr>
          <w:rFonts w:cs="Arial"/>
        </w:rPr>
        <w:t>Fiche Action OG- ESMS</w:t>
      </w:r>
      <w:r w:rsidRPr="003D3D43">
        <w:rPr>
          <w:rFonts w:cs="Arial"/>
        </w:rPr>
        <w:t xml:space="preserve">” du fichier Excel </w:t>
      </w:r>
      <w:r w:rsidR="008C6559" w:rsidRPr="003D3D43">
        <w:rPr>
          <w:rFonts w:eastAsia="Calibri" w:cs="Arial"/>
          <w:color w:val="000000"/>
        </w:rPr>
        <w:t>« Outil diagnostic commun secteurs PH et PA ».</w:t>
      </w:r>
    </w:p>
    <w:p w14:paraId="7BCF6B44" w14:textId="00ADF1D8" w:rsidR="00995388" w:rsidRPr="003D3D43" w:rsidRDefault="00995388" w:rsidP="003D3D43">
      <w:pPr>
        <w:jc w:val="both"/>
        <w:rPr>
          <w:rFonts w:cs="Arial"/>
        </w:rPr>
      </w:pPr>
    </w:p>
    <w:p w14:paraId="5F52FF6B" w14:textId="47294EFF" w:rsidR="00995388" w:rsidRPr="003D3D43" w:rsidRDefault="00995388" w:rsidP="003D3D43">
      <w:pPr>
        <w:jc w:val="both"/>
        <w:rPr>
          <w:rFonts w:cs="Arial"/>
        </w:rPr>
      </w:pPr>
      <w:r w:rsidRPr="003D3D43">
        <w:rPr>
          <w:rFonts w:cs="Arial"/>
        </w:rPr>
        <w:t>L</w:t>
      </w:r>
      <w:r w:rsidR="00631FB2">
        <w:rPr>
          <w:rFonts w:cs="Arial"/>
        </w:rPr>
        <w:t>e gestionnaire</w:t>
      </w:r>
      <w:r w:rsidRPr="003D3D43">
        <w:rPr>
          <w:rFonts w:cs="Arial"/>
        </w:rPr>
        <w:t xml:space="preserve"> renseigne le nombre de fiches actions correspondant au nombre d’</w:t>
      </w:r>
      <w:r w:rsidR="002045AD" w:rsidRPr="003D3D43">
        <w:rPr>
          <w:rFonts w:cs="Arial"/>
        </w:rPr>
        <w:t>objectifs fixés</w:t>
      </w:r>
      <w:r w:rsidRPr="003D3D43">
        <w:rPr>
          <w:rFonts w:cs="Arial"/>
        </w:rPr>
        <w:t xml:space="preserve"> </w:t>
      </w:r>
      <w:r w:rsidR="008C6559" w:rsidRPr="003D3D43">
        <w:rPr>
          <w:rFonts w:cs="Arial"/>
        </w:rPr>
        <w:t xml:space="preserve">au CPOM </w:t>
      </w:r>
      <w:r w:rsidRPr="003D3D43">
        <w:rPr>
          <w:rFonts w:cs="Arial"/>
        </w:rPr>
        <w:t>lors de la réunion bi ou tripartite du diagnostic partagé.</w:t>
      </w:r>
    </w:p>
    <w:p w14:paraId="0E1DA57C" w14:textId="120B95C4" w:rsidR="00995388" w:rsidRPr="003D3D43" w:rsidRDefault="00995388" w:rsidP="003D3D43">
      <w:pPr>
        <w:jc w:val="both"/>
        <w:rPr>
          <w:rFonts w:cs="Arial"/>
          <w:sz w:val="6"/>
          <w:szCs w:val="6"/>
        </w:rPr>
      </w:pPr>
    </w:p>
    <w:p w14:paraId="617D43B6" w14:textId="77777777" w:rsidR="004577C6" w:rsidRPr="003D3D43" w:rsidRDefault="004577C6" w:rsidP="003D3D43">
      <w:pPr>
        <w:jc w:val="both"/>
        <w:rPr>
          <w:rFonts w:cs="Arial"/>
          <w:sz w:val="6"/>
          <w:szCs w:val="6"/>
        </w:rPr>
      </w:pPr>
    </w:p>
    <w:p w14:paraId="226231F5" w14:textId="00C50038" w:rsidR="00995388" w:rsidRPr="003D3D43" w:rsidRDefault="00995388" w:rsidP="003D3D43">
      <w:pPr>
        <w:pStyle w:val="Titre2"/>
        <w:jc w:val="both"/>
        <w:rPr>
          <w:rFonts w:ascii="Arial" w:hAnsi="Arial" w:cs="Arial"/>
          <w:b/>
          <w:bCs/>
          <w:sz w:val="24"/>
          <w:szCs w:val="24"/>
        </w:rPr>
      </w:pPr>
      <w:bookmarkStart w:id="53" w:name="_Toc65052824"/>
      <w:bookmarkStart w:id="54" w:name="_Toc65434107"/>
      <w:bookmarkStart w:id="55" w:name="_Hlk65233678"/>
      <w:bookmarkStart w:id="56" w:name="_Toc69303814"/>
      <w:r w:rsidRPr="003D3D43">
        <w:rPr>
          <w:rFonts w:ascii="Arial" w:hAnsi="Arial" w:cs="Arial"/>
          <w:b/>
          <w:bCs/>
          <w:sz w:val="24"/>
          <w:szCs w:val="24"/>
          <w:u w:val="single"/>
        </w:rPr>
        <w:t xml:space="preserve">Annexe </w:t>
      </w:r>
      <w:r w:rsidR="002045AD" w:rsidRPr="003D3D43">
        <w:rPr>
          <w:rFonts w:ascii="Arial" w:hAnsi="Arial" w:cs="Arial"/>
          <w:b/>
          <w:bCs/>
          <w:sz w:val="24"/>
          <w:szCs w:val="24"/>
          <w:u w:val="single"/>
        </w:rPr>
        <w:t>5</w:t>
      </w:r>
      <w:r w:rsidRPr="003D3D43">
        <w:rPr>
          <w:rFonts w:ascii="Arial" w:hAnsi="Arial" w:cs="Arial"/>
          <w:b/>
          <w:bCs/>
          <w:sz w:val="24"/>
          <w:szCs w:val="24"/>
        </w:rPr>
        <w:t> : Plan Global de Financement Pluriannuel (PGFP) et Plan Pluriannuel d’Investissement (PPI)</w:t>
      </w:r>
      <w:bookmarkEnd w:id="53"/>
      <w:bookmarkEnd w:id="54"/>
      <w:bookmarkEnd w:id="56"/>
    </w:p>
    <w:p w14:paraId="2C23486A" w14:textId="77777777" w:rsidR="00995388" w:rsidRPr="003D3D43" w:rsidRDefault="00995388" w:rsidP="003D3D43">
      <w:pPr>
        <w:pBdr>
          <w:top w:val="nil"/>
          <w:left w:val="nil"/>
          <w:bottom w:val="nil"/>
          <w:right w:val="nil"/>
          <w:between w:val="nil"/>
        </w:pBdr>
        <w:ind w:left="720"/>
        <w:jc w:val="both"/>
        <w:rPr>
          <w:rFonts w:cs="Arial"/>
          <w:color w:val="000000"/>
          <w:sz w:val="14"/>
          <w:szCs w:val="14"/>
        </w:rPr>
      </w:pPr>
    </w:p>
    <w:p w14:paraId="609DDE20" w14:textId="00098098" w:rsidR="00995388" w:rsidRPr="003D3D43" w:rsidRDefault="00995388" w:rsidP="003D3D43">
      <w:pPr>
        <w:keepLines w:val="0"/>
        <w:pBdr>
          <w:top w:val="nil"/>
          <w:left w:val="nil"/>
          <w:bottom w:val="nil"/>
          <w:right w:val="nil"/>
          <w:between w:val="nil"/>
        </w:pBdr>
        <w:jc w:val="both"/>
        <w:rPr>
          <w:rFonts w:cs="Arial"/>
        </w:rPr>
      </w:pPr>
      <w:r w:rsidRPr="003D3D43">
        <w:rPr>
          <w:rFonts w:cs="Arial"/>
          <w:color w:val="000000"/>
        </w:rPr>
        <w:t xml:space="preserve">Le cas échéant, </w:t>
      </w:r>
      <w:r w:rsidRPr="003D3D43">
        <w:rPr>
          <w:rFonts w:eastAsia="Calibri" w:cs="Arial"/>
          <w:color w:val="000000"/>
        </w:rPr>
        <w:t xml:space="preserve">documents à fournir par </w:t>
      </w:r>
      <w:r w:rsidR="00631FB2">
        <w:rPr>
          <w:rFonts w:eastAsia="Calibri" w:cs="Arial"/>
          <w:color w:val="000000"/>
        </w:rPr>
        <w:t>le gestionnaire</w:t>
      </w:r>
      <w:r w:rsidRPr="003D3D43">
        <w:rPr>
          <w:rFonts w:cs="Arial"/>
        </w:rPr>
        <w:t>.</w:t>
      </w:r>
    </w:p>
    <w:p w14:paraId="73F81B17" w14:textId="77777777" w:rsidR="004577C6" w:rsidRPr="003D3D43" w:rsidRDefault="004577C6" w:rsidP="003D3D43">
      <w:pPr>
        <w:pStyle w:val="Sansinterligne"/>
        <w:jc w:val="both"/>
        <w:rPr>
          <w:rFonts w:cs="Arial"/>
        </w:rPr>
      </w:pPr>
    </w:p>
    <w:p w14:paraId="235F66BD" w14:textId="1D5D16F1" w:rsidR="00995388" w:rsidRPr="003D3D43" w:rsidRDefault="00995388" w:rsidP="003D3D43">
      <w:pPr>
        <w:pStyle w:val="Titre2"/>
        <w:jc w:val="both"/>
        <w:rPr>
          <w:rFonts w:ascii="Arial" w:hAnsi="Arial" w:cs="Arial"/>
          <w:b/>
          <w:bCs/>
          <w:sz w:val="24"/>
          <w:szCs w:val="24"/>
          <w:u w:val="single"/>
        </w:rPr>
      </w:pPr>
      <w:bookmarkStart w:id="57" w:name="_Toc65052825"/>
      <w:bookmarkStart w:id="58" w:name="_Toc65434108"/>
      <w:bookmarkStart w:id="59" w:name="_Toc69303815"/>
      <w:r w:rsidRPr="003D3D43">
        <w:rPr>
          <w:rFonts w:ascii="Arial" w:hAnsi="Arial" w:cs="Arial"/>
          <w:b/>
          <w:bCs/>
          <w:sz w:val="24"/>
          <w:szCs w:val="24"/>
          <w:u w:val="single"/>
        </w:rPr>
        <w:t xml:space="preserve">Annexe </w:t>
      </w:r>
      <w:r w:rsidR="002045AD" w:rsidRPr="003D3D43">
        <w:rPr>
          <w:rFonts w:ascii="Arial" w:hAnsi="Arial" w:cs="Arial"/>
          <w:b/>
          <w:bCs/>
          <w:sz w:val="24"/>
          <w:szCs w:val="24"/>
          <w:u w:val="single"/>
        </w:rPr>
        <w:t>6</w:t>
      </w:r>
      <w:r w:rsidRPr="003D3D43">
        <w:rPr>
          <w:rFonts w:ascii="Arial" w:hAnsi="Arial" w:cs="Arial"/>
          <w:b/>
          <w:bCs/>
          <w:sz w:val="24"/>
          <w:szCs w:val="24"/>
        </w:rPr>
        <w:t xml:space="preserve"> : Plan de Retour à l’Equilibre</w:t>
      </w:r>
      <w:bookmarkEnd w:id="57"/>
      <w:bookmarkEnd w:id="58"/>
      <w:bookmarkEnd w:id="59"/>
      <w:r w:rsidRPr="003D3D43">
        <w:rPr>
          <w:rFonts w:ascii="Arial" w:hAnsi="Arial" w:cs="Arial"/>
          <w:b/>
          <w:bCs/>
          <w:sz w:val="24"/>
          <w:szCs w:val="24"/>
          <w:u w:val="single"/>
        </w:rPr>
        <w:t xml:space="preserve"> </w:t>
      </w:r>
    </w:p>
    <w:p w14:paraId="1DF536D5" w14:textId="77777777" w:rsidR="00995388" w:rsidRPr="003D3D43" w:rsidRDefault="00995388" w:rsidP="003D3D43">
      <w:pPr>
        <w:keepLines w:val="0"/>
        <w:jc w:val="both"/>
        <w:rPr>
          <w:rFonts w:cs="Arial"/>
          <w:sz w:val="14"/>
          <w:szCs w:val="14"/>
        </w:rPr>
      </w:pPr>
    </w:p>
    <w:p w14:paraId="63453882" w14:textId="2E477A95" w:rsidR="00995388" w:rsidRPr="003D3D43" w:rsidRDefault="00995388" w:rsidP="003D3D43">
      <w:pPr>
        <w:keepLines w:val="0"/>
        <w:jc w:val="both"/>
        <w:rPr>
          <w:rFonts w:cs="Arial"/>
        </w:rPr>
      </w:pPr>
      <w:r w:rsidRPr="003D3D43">
        <w:rPr>
          <w:rFonts w:cs="Arial"/>
        </w:rPr>
        <w:t>Le cas échéant, document à fournir par l</w:t>
      </w:r>
      <w:bookmarkEnd w:id="55"/>
      <w:r w:rsidR="00631FB2">
        <w:rPr>
          <w:rFonts w:cs="Arial"/>
        </w:rPr>
        <w:t>e gestionnaire</w:t>
      </w:r>
      <w:r w:rsidRPr="003D3D43">
        <w:rPr>
          <w:rFonts w:cs="Arial"/>
        </w:rPr>
        <w:t>.</w:t>
      </w:r>
    </w:p>
    <w:p w14:paraId="158042B7" w14:textId="77777777" w:rsidR="00995388" w:rsidRPr="003D3D43" w:rsidRDefault="00995388" w:rsidP="003D3D43">
      <w:pPr>
        <w:keepLines w:val="0"/>
        <w:jc w:val="both"/>
        <w:rPr>
          <w:rFonts w:cs="Arial"/>
        </w:rPr>
      </w:pPr>
    </w:p>
    <w:p w14:paraId="7195B6BB" w14:textId="6D6772AA" w:rsidR="00995388" w:rsidRPr="003D3D43" w:rsidRDefault="00995388" w:rsidP="003D3D43">
      <w:pPr>
        <w:pStyle w:val="Titre2"/>
        <w:jc w:val="both"/>
        <w:rPr>
          <w:rFonts w:ascii="Arial" w:hAnsi="Arial" w:cs="Arial"/>
          <w:b/>
          <w:bCs/>
          <w:sz w:val="24"/>
          <w:szCs w:val="24"/>
        </w:rPr>
      </w:pPr>
      <w:bookmarkStart w:id="60" w:name="_Toc65052826"/>
      <w:bookmarkStart w:id="61" w:name="_Toc65434109"/>
      <w:bookmarkStart w:id="62" w:name="_Hlk65233740"/>
      <w:bookmarkStart w:id="63" w:name="_Toc69303816"/>
      <w:r w:rsidRPr="003D3D43">
        <w:rPr>
          <w:rFonts w:ascii="Arial" w:hAnsi="Arial" w:cs="Arial"/>
          <w:b/>
          <w:bCs/>
          <w:sz w:val="24"/>
          <w:szCs w:val="24"/>
          <w:u w:val="single"/>
        </w:rPr>
        <w:t xml:space="preserve">Annexe </w:t>
      </w:r>
      <w:r w:rsidR="002045AD" w:rsidRPr="003D3D43">
        <w:rPr>
          <w:rFonts w:ascii="Arial" w:hAnsi="Arial" w:cs="Arial"/>
          <w:b/>
          <w:bCs/>
          <w:sz w:val="24"/>
          <w:szCs w:val="24"/>
          <w:u w:val="single"/>
        </w:rPr>
        <w:t>7</w:t>
      </w:r>
      <w:r w:rsidRPr="003D3D43">
        <w:rPr>
          <w:rFonts w:ascii="Arial" w:hAnsi="Arial" w:cs="Arial"/>
          <w:b/>
          <w:bCs/>
          <w:sz w:val="24"/>
          <w:szCs w:val="24"/>
        </w:rPr>
        <w:t> : Convention d’habilitation à l’aide sociale territoriale</w:t>
      </w:r>
      <w:bookmarkEnd w:id="60"/>
      <w:bookmarkEnd w:id="61"/>
      <w:bookmarkEnd w:id="63"/>
    </w:p>
    <w:p w14:paraId="1790062B" w14:textId="77777777" w:rsidR="00995388" w:rsidRPr="003D3D43" w:rsidRDefault="00995388" w:rsidP="003D3D43">
      <w:pPr>
        <w:keepLines w:val="0"/>
        <w:pBdr>
          <w:top w:val="nil"/>
          <w:left w:val="nil"/>
          <w:bottom w:val="nil"/>
          <w:right w:val="nil"/>
          <w:between w:val="nil"/>
        </w:pBdr>
        <w:jc w:val="both"/>
        <w:rPr>
          <w:rFonts w:eastAsia="Calibri" w:cs="Arial"/>
          <w:color w:val="000000"/>
          <w:sz w:val="12"/>
          <w:szCs w:val="12"/>
        </w:rPr>
      </w:pPr>
    </w:p>
    <w:p w14:paraId="0B495832" w14:textId="353DDCF0" w:rsidR="00995388" w:rsidRPr="003D3D43" w:rsidRDefault="00995388" w:rsidP="003D3D43">
      <w:pPr>
        <w:jc w:val="both"/>
        <w:rPr>
          <w:rFonts w:cs="Arial"/>
        </w:rPr>
      </w:pPr>
      <w:r w:rsidRPr="003D3D43">
        <w:rPr>
          <w:rFonts w:cs="Arial"/>
        </w:rPr>
        <w:t>Le cas échéant, convention à fournir par l</w:t>
      </w:r>
      <w:r w:rsidR="00631FB2">
        <w:rPr>
          <w:rFonts w:cs="Arial"/>
        </w:rPr>
        <w:t>e gestionnaire</w:t>
      </w:r>
      <w:r w:rsidRPr="003D3D43">
        <w:rPr>
          <w:rFonts w:cs="Arial"/>
        </w:rPr>
        <w:t>.</w:t>
      </w:r>
    </w:p>
    <w:p w14:paraId="17C92EF6" w14:textId="77777777" w:rsidR="00995388" w:rsidRPr="003D3D43" w:rsidRDefault="00995388" w:rsidP="003D3D43">
      <w:pPr>
        <w:jc w:val="both"/>
        <w:rPr>
          <w:rFonts w:cs="Arial"/>
        </w:rPr>
      </w:pPr>
    </w:p>
    <w:p w14:paraId="6CD08442" w14:textId="32DB5E8E" w:rsidR="00995388" w:rsidRPr="003D3D43" w:rsidRDefault="00995388" w:rsidP="003D3D43">
      <w:pPr>
        <w:pStyle w:val="Titre2"/>
        <w:jc w:val="both"/>
        <w:rPr>
          <w:rFonts w:ascii="Arial" w:hAnsi="Arial" w:cs="Arial"/>
          <w:b/>
          <w:bCs/>
          <w:sz w:val="24"/>
          <w:szCs w:val="24"/>
          <w:u w:val="single"/>
        </w:rPr>
      </w:pPr>
      <w:bookmarkStart w:id="64" w:name="_Toc65052827"/>
      <w:bookmarkStart w:id="65" w:name="_Toc65434110"/>
      <w:bookmarkStart w:id="66" w:name="_Hlk65233782"/>
      <w:bookmarkStart w:id="67" w:name="_Toc69303817"/>
      <w:bookmarkEnd w:id="62"/>
      <w:r w:rsidRPr="003D3D43">
        <w:rPr>
          <w:rFonts w:ascii="Arial" w:hAnsi="Arial" w:cs="Arial"/>
          <w:b/>
          <w:bCs/>
          <w:sz w:val="24"/>
          <w:szCs w:val="24"/>
          <w:u w:val="single"/>
        </w:rPr>
        <w:t xml:space="preserve">Annexe </w:t>
      </w:r>
      <w:r w:rsidR="002045AD" w:rsidRPr="003D3D43">
        <w:rPr>
          <w:rFonts w:ascii="Arial" w:hAnsi="Arial" w:cs="Arial"/>
          <w:b/>
          <w:bCs/>
          <w:sz w:val="24"/>
          <w:szCs w:val="24"/>
          <w:u w:val="single"/>
        </w:rPr>
        <w:t>8</w:t>
      </w:r>
      <w:r w:rsidRPr="003D3D43">
        <w:rPr>
          <w:rFonts w:ascii="Arial" w:hAnsi="Arial" w:cs="Arial"/>
          <w:b/>
          <w:bCs/>
          <w:sz w:val="24"/>
          <w:szCs w:val="24"/>
        </w:rPr>
        <w:t> : Arrêté portant autorisation des frais de siège OG</w:t>
      </w:r>
      <w:bookmarkEnd w:id="64"/>
      <w:bookmarkEnd w:id="65"/>
      <w:bookmarkEnd w:id="67"/>
    </w:p>
    <w:p w14:paraId="166EBB69" w14:textId="77777777" w:rsidR="00995388" w:rsidRPr="003D3D43" w:rsidRDefault="00995388" w:rsidP="003D3D43">
      <w:pPr>
        <w:jc w:val="both"/>
        <w:rPr>
          <w:rFonts w:cs="Arial"/>
        </w:rPr>
      </w:pPr>
    </w:p>
    <w:p w14:paraId="3D3E81D4" w14:textId="7C7E7930" w:rsidR="00995388" w:rsidRPr="003D3D43" w:rsidRDefault="00995388" w:rsidP="003D3D43">
      <w:pPr>
        <w:jc w:val="both"/>
        <w:rPr>
          <w:rFonts w:cs="Arial"/>
        </w:rPr>
      </w:pPr>
      <w:r w:rsidRPr="003D3D43">
        <w:rPr>
          <w:rFonts w:cs="Arial"/>
        </w:rPr>
        <w:t>Le cas échéant, document à fournir par l</w:t>
      </w:r>
      <w:r w:rsidR="00631FB2">
        <w:rPr>
          <w:rFonts w:cs="Arial"/>
        </w:rPr>
        <w:t>e gestionnaire.</w:t>
      </w:r>
    </w:p>
    <w:p w14:paraId="3118601F" w14:textId="7218D208" w:rsidR="00995388" w:rsidRPr="003D3D43" w:rsidRDefault="00995388" w:rsidP="003D3D43">
      <w:pPr>
        <w:jc w:val="both"/>
        <w:rPr>
          <w:rFonts w:cs="Arial"/>
        </w:rPr>
      </w:pPr>
      <w:r w:rsidRPr="003D3D43">
        <w:rPr>
          <w:rFonts w:cs="Arial"/>
        </w:rPr>
        <w:t>.</w:t>
      </w:r>
    </w:p>
    <w:p w14:paraId="0F2C48DA" w14:textId="29AD9DF1" w:rsidR="00995388" w:rsidRPr="003D3D43" w:rsidRDefault="00995388" w:rsidP="003D3D43">
      <w:pPr>
        <w:pStyle w:val="Titre2"/>
        <w:jc w:val="both"/>
        <w:rPr>
          <w:rFonts w:ascii="Arial" w:hAnsi="Arial" w:cs="Arial"/>
          <w:b/>
          <w:bCs/>
          <w:sz w:val="24"/>
          <w:szCs w:val="24"/>
          <w:u w:val="single"/>
        </w:rPr>
      </w:pPr>
      <w:bookmarkStart w:id="68" w:name="_Toc65052828"/>
      <w:bookmarkStart w:id="69" w:name="_Toc65434111"/>
      <w:bookmarkStart w:id="70" w:name="_Toc69303818"/>
      <w:r w:rsidRPr="003D3D43">
        <w:rPr>
          <w:rFonts w:ascii="Arial" w:hAnsi="Arial" w:cs="Arial"/>
          <w:b/>
          <w:bCs/>
          <w:sz w:val="24"/>
          <w:szCs w:val="24"/>
          <w:u w:val="single"/>
        </w:rPr>
        <w:t xml:space="preserve">Annexe </w:t>
      </w:r>
      <w:r w:rsidR="002045AD" w:rsidRPr="003D3D43">
        <w:rPr>
          <w:rFonts w:ascii="Arial" w:hAnsi="Arial" w:cs="Arial"/>
          <w:b/>
          <w:bCs/>
          <w:sz w:val="24"/>
          <w:szCs w:val="24"/>
          <w:u w:val="single"/>
        </w:rPr>
        <w:t>9</w:t>
      </w:r>
      <w:r w:rsidRPr="003D3D43">
        <w:rPr>
          <w:rFonts w:ascii="Arial" w:hAnsi="Arial" w:cs="Arial"/>
          <w:b/>
          <w:bCs/>
          <w:sz w:val="24"/>
          <w:szCs w:val="24"/>
        </w:rPr>
        <w:t> : Eléments de contrats ou convention liant le gestionnaire à d’autres autorités publiques ayant un impact sur la réalisation du CPOM</w:t>
      </w:r>
      <w:bookmarkEnd w:id="68"/>
      <w:bookmarkEnd w:id="69"/>
      <w:bookmarkEnd w:id="70"/>
    </w:p>
    <w:p w14:paraId="30F38087" w14:textId="77777777" w:rsidR="00995388" w:rsidRPr="003D3D43" w:rsidRDefault="00995388" w:rsidP="003D3D43">
      <w:pPr>
        <w:keepLines w:val="0"/>
        <w:pBdr>
          <w:top w:val="nil"/>
          <w:left w:val="nil"/>
          <w:bottom w:val="nil"/>
          <w:right w:val="nil"/>
          <w:between w:val="nil"/>
        </w:pBdr>
        <w:jc w:val="both"/>
        <w:rPr>
          <w:rFonts w:eastAsia="Calibri" w:cs="Arial"/>
          <w:color w:val="000000"/>
          <w:sz w:val="22"/>
          <w:szCs w:val="22"/>
        </w:rPr>
      </w:pPr>
    </w:p>
    <w:p w14:paraId="6EFC5F6C" w14:textId="6C7541D6" w:rsidR="006E16ED" w:rsidRPr="003D3D43" w:rsidRDefault="00995388" w:rsidP="003D3D43">
      <w:pPr>
        <w:keepLines w:val="0"/>
        <w:pBdr>
          <w:top w:val="nil"/>
          <w:left w:val="nil"/>
          <w:bottom w:val="nil"/>
          <w:right w:val="nil"/>
          <w:between w:val="nil"/>
        </w:pBdr>
        <w:jc w:val="both"/>
        <w:rPr>
          <w:rFonts w:eastAsia="Calibri" w:cs="Arial"/>
          <w:color w:val="000000"/>
        </w:rPr>
      </w:pPr>
      <w:r w:rsidRPr="003D3D43">
        <w:rPr>
          <w:rFonts w:eastAsia="Calibri" w:cs="Arial"/>
          <w:color w:val="000000"/>
        </w:rPr>
        <w:t>Le cas échéant, lister les objectifs du CPOM sanitaire impliquant le gestionnaire.</w:t>
      </w:r>
      <w:bookmarkEnd w:id="66"/>
    </w:p>
    <w:sectPr w:rsidR="006E16ED" w:rsidRPr="003D3D43" w:rsidSect="00A100BA">
      <w:footerReference w:type="default" r:id="rId18"/>
      <w:headerReference w:type="first" r:id="rId19"/>
      <w:footerReference w:type="first" r:id="rId20"/>
      <w:pgSz w:w="11906" w:h="16838" w:code="9"/>
      <w:pgMar w:top="1418" w:right="1418" w:bottom="1418" w:left="1133"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0B304" w14:textId="77777777" w:rsidR="00994B07" w:rsidRDefault="00994B07" w:rsidP="00922AEC">
      <w:r>
        <w:separator/>
      </w:r>
    </w:p>
  </w:endnote>
  <w:endnote w:type="continuationSeparator" w:id="0">
    <w:p w14:paraId="4C602B01" w14:textId="77777777" w:rsidR="00994B07" w:rsidRDefault="00994B07" w:rsidP="00922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652687"/>
      <w:docPartObj>
        <w:docPartGallery w:val="Page Numbers (Bottom of Page)"/>
        <w:docPartUnique/>
      </w:docPartObj>
    </w:sdtPr>
    <w:sdtContent>
      <w:p w14:paraId="77A7B28B" w14:textId="62CB0A35" w:rsidR="00E377EE" w:rsidRDefault="00E377EE">
        <w:pPr>
          <w:pStyle w:val="Pieddepage"/>
          <w:jc w:val="right"/>
        </w:pPr>
      </w:p>
    </w:sdtContent>
  </w:sdt>
  <w:p w14:paraId="1FBC1BA1" w14:textId="77777777" w:rsidR="00E377EE" w:rsidRDefault="00E377E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B49F" w14:textId="77777777" w:rsidR="00E377EE" w:rsidRDefault="00E377EE" w:rsidP="00193A84">
    <w:pPr>
      <w:pStyle w:val="Pieddepage"/>
      <w:jc w:val="center"/>
      <w:rPr>
        <w:i/>
        <w:iCs/>
      </w:rPr>
    </w:pPr>
    <w:r w:rsidRPr="002C161E">
      <w:rPr>
        <w:i/>
        <w:iCs/>
      </w:rPr>
      <w:t>Version 2021</w:t>
    </w:r>
  </w:p>
  <w:p w14:paraId="5D0C0D8E" w14:textId="77777777" w:rsidR="00E377EE" w:rsidRDefault="00E377EE" w:rsidP="00193A84">
    <w:pPr>
      <w:pStyle w:val="Pieddepage"/>
      <w:jc w:val="center"/>
      <w:rPr>
        <w:i/>
        <w:iCs/>
      </w:rPr>
    </w:pPr>
  </w:p>
  <w:p w14:paraId="3270D99A" w14:textId="77777777" w:rsidR="00E377EE" w:rsidRPr="004111F5" w:rsidRDefault="00E377EE" w:rsidP="00193A84">
    <w:pPr>
      <w:pStyle w:val="Pieddepage"/>
      <w:rPr>
        <w:color w:val="3366FF"/>
        <w:sz w:val="16"/>
        <w:szCs w:val="16"/>
      </w:rPr>
    </w:pPr>
    <w:r w:rsidRPr="004111F5">
      <w:rPr>
        <w:color w:val="3366FF"/>
        <w:sz w:val="16"/>
        <w:szCs w:val="16"/>
      </w:rPr>
      <w:fldChar w:fldCharType="begin"/>
    </w:r>
    <w:r w:rsidRPr="004111F5">
      <w:rPr>
        <w:color w:val="3366FF"/>
        <w:sz w:val="16"/>
        <w:szCs w:val="16"/>
      </w:rPr>
      <w:instrText xml:space="preserve"> INCLUDETEXT  "I:\\TRANSFER\\modeles\\PdP FAX45.dot"  \* MERGEFORMAT </w:instrText>
    </w:r>
    <w:r w:rsidRPr="004111F5">
      <w:rPr>
        <w:color w:val="3366FF"/>
        <w:sz w:val="16"/>
        <w:szCs w:val="16"/>
      </w:rPr>
      <w:fldChar w:fldCharType="separate"/>
    </w:r>
    <w:r w:rsidRPr="004111F5">
      <w:rPr>
        <w:color w:val="3366FF"/>
        <w:sz w:val="16"/>
        <w:szCs w:val="16"/>
      </w:rPr>
      <w:t>La correspondance est à adresser impersonnellement à M</w:t>
    </w:r>
    <w:r>
      <w:rPr>
        <w:color w:val="3366FF"/>
        <w:sz w:val="16"/>
        <w:szCs w:val="16"/>
      </w:rPr>
      <w:t>adame la Directrice Générale d</w:t>
    </w:r>
    <w:r w:rsidRPr="004111F5">
      <w:rPr>
        <w:color w:val="3366FF"/>
        <w:sz w:val="16"/>
        <w:szCs w:val="16"/>
      </w:rPr>
      <w:t>e l'Agence Régionale de Santé de Corse</w:t>
    </w:r>
  </w:p>
  <w:p w14:paraId="2E58BAB2" w14:textId="426D4D58" w:rsidR="00E377EE" w:rsidRPr="004111F5" w:rsidRDefault="00E377EE" w:rsidP="00193A84">
    <w:pPr>
      <w:jc w:val="center"/>
      <w:rPr>
        <w:color w:val="3366FF"/>
        <w:sz w:val="16"/>
        <w:szCs w:val="16"/>
      </w:rPr>
    </w:pPr>
    <w:r w:rsidRPr="004111F5">
      <w:rPr>
        <w:color w:val="3366FF"/>
        <w:sz w:val="16"/>
        <w:szCs w:val="16"/>
        <w:lang w:val="en-US"/>
      </w:rPr>
      <w:t xml:space="preserve">Quartier St Joseph – CS 13 003 - 20700 Ajaccio </w:t>
    </w:r>
    <w:r>
      <w:rPr>
        <w:color w:val="3366FF"/>
        <w:sz w:val="16"/>
        <w:szCs w:val="16"/>
        <w:lang w:val="en-US"/>
      </w:rPr>
      <w:t>C</w:t>
    </w:r>
    <w:r w:rsidRPr="004111F5">
      <w:rPr>
        <w:color w:val="3366FF"/>
        <w:sz w:val="16"/>
        <w:szCs w:val="16"/>
        <w:lang w:val="en-US"/>
      </w:rPr>
      <w:t xml:space="preserve">edex 9 </w:t>
    </w:r>
    <w:r w:rsidRPr="004111F5">
      <w:rPr>
        <w:color w:val="3366FF"/>
        <w:sz w:val="16"/>
        <w:szCs w:val="16"/>
      </w:rPr>
      <w:t xml:space="preserve">- </w:t>
    </w:r>
    <w:proofErr w:type="gramStart"/>
    <w:r w:rsidRPr="004111F5">
      <w:rPr>
        <w:color w:val="3366FF"/>
        <w:sz w:val="16"/>
        <w:szCs w:val="16"/>
      </w:rPr>
      <w:t>Tel :</w:t>
    </w:r>
    <w:proofErr w:type="gramEnd"/>
    <w:r w:rsidRPr="004111F5">
      <w:rPr>
        <w:color w:val="3366FF"/>
        <w:sz w:val="16"/>
        <w:szCs w:val="16"/>
      </w:rPr>
      <w:t xml:space="preserve"> 04.95.51.98.98 - Fax : 04.95.51.99.00</w:t>
    </w:r>
    <w:r w:rsidRPr="004111F5">
      <w:rPr>
        <w:color w:val="3366FF"/>
        <w:sz w:val="16"/>
        <w:szCs w:val="16"/>
      </w:rPr>
      <w:br/>
      <w:t>Site INTERNET : http://www.ars.corse.sante.fr</w:t>
    </w:r>
    <w:r w:rsidRPr="004111F5">
      <w:rPr>
        <w:color w:val="3366FF"/>
        <w:sz w:val="16"/>
        <w:szCs w:val="16"/>
      </w:rPr>
      <w:fldChar w:fldCharType="end"/>
    </w:r>
  </w:p>
  <w:p w14:paraId="3605D753" w14:textId="77777777" w:rsidR="00E377EE" w:rsidRPr="004111F5" w:rsidRDefault="00E377EE" w:rsidP="00841D41">
    <w:pPr>
      <w:jc w:val="center"/>
      <w:rPr>
        <w:rFonts w:cs="Arial"/>
        <w:color w:val="3366FF"/>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834975"/>
      <w:docPartObj>
        <w:docPartGallery w:val="Page Numbers (Bottom of Page)"/>
        <w:docPartUnique/>
      </w:docPartObj>
    </w:sdtPr>
    <w:sdtContent>
      <w:p w14:paraId="4C487ECE" w14:textId="7585D692" w:rsidR="00E377EE" w:rsidRDefault="00E377EE">
        <w:pPr>
          <w:pStyle w:val="Pieddepage"/>
          <w:jc w:val="right"/>
        </w:pPr>
        <w:r>
          <w:fldChar w:fldCharType="begin"/>
        </w:r>
        <w:r>
          <w:instrText>PAGE   \* MERGEFORMAT</w:instrText>
        </w:r>
        <w:r>
          <w:fldChar w:fldCharType="separate"/>
        </w:r>
        <w:r>
          <w:rPr>
            <w:noProof/>
          </w:rPr>
          <w:t>12</w:t>
        </w:r>
        <w:r>
          <w:fldChar w:fldCharType="end"/>
        </w:r>
      </w:p>
    </w:sdtContent>
  </w:sdt>
  <w:p w14:paraId="14357B62" w14:textId="77777777" w:rsidR="00E377EE" w:rsidRDefault="00E377E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548946"/>
      <w:docPartObj>
        <w:docPartGallery w:val="Page Numbers (Bottom of Page)"/>
        <w:docPartUnique/>
      </w:docPartObj>
    </w:sdtPr>
    <w:sdtContent>
      <w:p w14:paraId="336B0D49" w14:textId="6A1E1614" w:rsidR="00E377EE" w:rsidRDefault="00E377EE">
        <w:pPr>
          <w:pStyle w:val="Pieddepage"/>
          <w:jc w:val="right"/>
        </w:pPr>
        <w:r>
          <w:fldChar w:fldCharType="begin"/>
        </w:r>
        <w:r>
          <w:instrText>PAGE   \* MERGEFORMAT</w:instrText>
        </w:r>
        <w:r>
          <w:fldChar w:fldCharType="separate"/>
        </w:r>
        <w:r>
          <w:rPr>
            <w:noProof/>
          </w:rPr>
          <w:t>1</w:t>
        </w:r>
        <w:r>
          <w:fldChar w:fldCharType="end"/>
        </w:r>
      </w:p>
    </w:sdtContent>
  </w:sdt>
  <w:p w14:paraId="346FD55B" w14:textId="77777777" w:rsidR="00E377EE" w:rsidRPr="004111F5" w:rsidRDefault="00E377EE" w:rsidP="00A100BA">
    <w:pPr>
      <w:rPr>
        <w:rFonts w:cs="Arial"/>
        <w:color w:val="3366F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605F9" w14:textId="77777777" w:rsidR="00994B07" w:rsidRDefault="00994B07" w:rsidP="00922AEC">
      <w:r>
        <w:separator/>
      </w:r>
    </w:p>
  </w:footnote>
  <w:footnote w:type="continuationSeparator" w:id="0">
    <w:p w14:paraId="2920C394" w14:textId="77777777" w:rsidR="00994B07" w:rsidRDefault="00994B07" w:rsidP="00922AEC">
      <w:r>
        <w:continuationSeparator/>
      </w:r>
    </w:p>
  </w:footnote>
  <w:footnote w:id="1">
    <w:p w14:paraId="11E6BE84" w14:textId="77777777" w:rsidR="00E377EE" w:rsidRDefault="00E377EE" w:rsidP="002639B5">
      <w:pPr>
        <w:pStyle w:val="Notedebasdepage"/>
      </w:pPr>
      <w:r>
        <w:rPr>
          <w:rStyle w:val="Appelnotedebasdep"/>
        </w:rPr>
        <w:footnoteRef/>
      </w:r>
      <w:r>
        <w:t xml:space="preserve"> </w:t>
      </w:r>
      <w:hyperlink r:id="rId1" w:history="1">
        <w:r w:rsidRPr="00B9354D">
          <w:rPr>
            <w:rStyle w:val="Lienhypertexte"/>
          </w:rPr>
          <w:t>https://www.corse.ars.sante.fr/lars-publie-son-projet-regional-de-sante-prs</w:t>
        </w:r>
      </w:hyperlink>
    </w:p>
  </w:footnote>
  <w:footnote w:id="2">
    <w:p w14:paraId="690D82B8" w14:textId="77777777" w:rsidR="00E377EE" w:rsidRDefault="00E377EE" w:rsidP="002639B5">
      <w:pPr>
        <w:pStyle w:val="Notedebasdepage"/>
      </w:pPr>
      <w:r>
        <w:rPr>
          <w:rStyle w:val="Appelnotedebasdep"/>
        </w:rPr>
        <w:footnoteRef/>
      </w:r>
      <w:r>
        <w:t xml:space="preserve"> </w:t>
      </w:r>
      <w:hyperlink r:id="rId2" w:history="1">
        <w:r w:rsidRPr="00B9354D">
          <w:rPr>
            <w:rStyle w:val="Lienhypertexte"/>
          </w:rPr>
          <w:t>https://www.corse.ars.sante.fr/priac-2020</w:t>
        </w:r>
      </w:hyperlink>
      <w:r>
        <w:t xml:space="preserve"> </w:t>
      </w:r>
    </w:p>
  </w:footnote>
  <w:footnote w:id="3">
    <w:p w14:paraId="0F1CBA3C" w14:textId="77777777" w:rsidR="00E377EE" w:rsidRDefault="00E377EE" w:rsidP="00C3026C">
      <w:pPr>
        <w:jc w:val="both"/>
        <w:rPr>
          <w:rFonts w:ascii="Calibri" w:eastAsia="Calibri" w:hAnsi="Calibri" w:cs="Calibri"/>
          <w:sz w:val="16"/>
          <w:szCs w:val="16"/>
        </w:rPr>
      </w:pPr>
      <w:r>
        <w:rPr>
          <w:vertAlign w:val="superscript"/>
        </w:rPr>
        <w:footnoteRef/>
      </w:r>
      <w:r>
        <w:t xml:space="preserve"> </w:t>
      </w:r>
      <w:r>
        <w:rPr>
          <w:rFonts w:ascii="Calibri" w:eastAsia="Calibri" w:hAnsi="Calibri" w:cs="Calibri"/>
          <w:sz w:val="16"/>
          <w:szCs w:val="16"/>
        </w:rPr>
        <w:t>Est considéré comme un projet d’investissement stratégique tout projet avec enjeu de rééquilibrage de l’offre, tout projet structurant (restructuration lourde, reconstruction de structures) ou identifié comme stratégique dans le schéma directeur immobilier.</w:t>
      </w:r>
    </w:p>
    <w:p w14:paraId="5C2141C6" w14:textId="77777777" w:rsidR="00E377EE" w:rsidRDefault="00E377EE" w:rsidP="00C3026C">
      <w:pPr>
        <w:pBdr>
          <w:top w:val="nil"/>
          <w:left w:val="nil"/>
          <w:bottom w:val="nil"/>
          <w:right w:val="nil"/>
          <w:between w:val="nil"/>
        </w:pBdr>
        <w:rPr>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9E94D" w14:textId="47A7A7D4" w:rsidR="00E377EE" w:rsidRPr="00C85BC7" w:rsidRDefault="00E377EE" w:rsidP="00193A84">
    <w:pPr>
      <w:pStyle w:val="En-tte"/>
      <w:ind w:left="-567" w:right="-568" w:hanging="283"/>
    </w:pPr>
    <w:r>
      <w:t xml:space="preserve">    </w:t>
    </w:r>
    <w:r>
      <w:rPr>
        <w:rFonts w:ascii="Calibri" w:eastAsia="Calibri" w:hAnsi="Calibri" w:cs="Calibri"/>
        <w:noProof/>
        <w:color w:val="002395"/>
        <w:sz w:val="32"/>
        <w:szCs w:val="32"/>
      </w:rPr>
      <w:drawing>
        <wp:inline distT="0" distB="0" distL="0" distR="0" wp14:anchorId="2F220BF3" wp14:editId="48313687">
          <wp:extent cx="1478280" cy="861059"/>
          <wp:effectExtent l="0" t="0" r="762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
                    <a:extLst>
                      <a:ext uri="{28A0092B-C50C-407E-A947-70E740481C1C}">
                        <a14:useLocalDpi xmlns:a14="http://schemas.microsoft.com/office/drawing/2010/main" val="0"/>
                      </a:ext>
                    </a:extLst>
                  </a:blip>
                  <a:stretch>
                    <a:fillRect/>
                  </a:stretch>
                </pic:blipFill>
                <pic:spPr>
                  <a:xfrm>
                    <a:off x="0" y="0"/>
                    <a:ext cx="1493811" cy="870106"/>
                  </a:xfrm>
                  <a:prstGeom prst="rect">
                    <a:avLst/>
                  </a:prstGeom>
                </pic:spPr>
              </pic:pic>
            </a:graphicData>
          </a:graphic>
        </wp:inline>
      </w:drawing>
    </w:r>
    <w:r>
      <w:t xml:space="preserve">                   </w:t>
    </w:r>
    <w:r>
      <w:rPr>
        <w:noProof/>
      </w:rPr>
      <w:drawing>
        <wp:inline distT="0" distB="0" distL="0" distR="0" wp14:anchorId="22635B91" wp14:editId="07F84B2C">
          <wp:extent cx="1546860" cy="91440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6860" cy="914400"/>
                  </a:xfrm>
                  <a:prstGeom prst="rect">
                    <a:avLst/>
                  </a:prstGeom>
                  <a:noFill/>
                </pic:spPr>
              </pic:pic>
            </a:graphicData>
          </a:graphic>
        </wp:inline>
      </w:drawing>
    </w:r>
    <w:r>
      <w:t xml:space="preserve">                       </w:t>
    </w:r>
    <w:r>
      <w:rPr>
        <w:noProof/>
      </w:rPr>
      <w:drawing>
        <wp:inline distT="0" distB="0" distL="0" distR="0" wp14:anchorId="18C994E7" wp14:editId="7ECA37B3">
          <wp:extent cx="2152015" cy="944880"/>
          <wp:effectExtent l="0" t="0" r="635" b="762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52015" cy="94488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1B37E" w14:textId="1564F6DD" w:rsidR="00E377EE" w:rsidRPr="00C85BC7" w:rsidRDefault="00E377EE" w:rsidP="00193A84">
    <w:pPr>
      <w:pStyle w:val="En-tte"/>
      <w:ind w:left="-567" w:right="-568" w:hanging="283"/>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1285"/>
    <w:multiLevelType w:val="hybridMultilevel"/>
    <w:tmpl w:val="49C8EB90"/>
    <w:lvl w:ilvl="0" w:tplc="327C19D0">
      <w:start w:val="1"/>
      <w:numFmt w:val="bullet"/>
      <w:lvlText w:val=""/>
      <w:lvlJc w:val="left"/>
      <w:pPr>
        <w:ind w:left="720" w:hanging="360"/>
      </w:pPr>
      <w:rPr>
        <w:rFonts w:ascii="Symbol" w:hAnsi="Symbol" w:hint="default"/>
      </w:rPr>
    </w:lvl>
    <w:lvl w:ilvl="1" w:tplc="327C19D0">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D0332F"/>
    <w:multiLevelType w:val="multilevel"/>
    <w:tmpl w:val="C4D845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3362F45"/>
    <w:multiLevelType w:val="hybridMultilevel"/>
    <w:tmpl w:val="66AC4866"/>
    <w:lvl w:ilvl="0" w:tplc="040C000B">
      <w:start w:val="1"/>
      <w:numFmt w:val="bullet"/>
      <w:lvlText w:val=""/>
      <w:lvlJc w:val="left"/>
      <w:pPr>
        <w:ind w:left="720" w:hanging="360"/>
      </w:pPr>
      <w:rPr>
        <w:rFonts w:ascii="Wingdings" w:hAnsi="Wingdings" w:hint="default"/>
        <w:color w:val="0000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6E42EA"/>
    <w:multiLevelType w:val="hybridMultilevel"/>
    <w:tmpl w:val="9CC843A2"/>
    <w:lvl w:ilvl="0" w:tplc="F7E26260">
      <w:start w:val="1"/>
      <w:numFmt w:val="lowerLetter"/>
      <w:lvlText w:val="%1)"/>
      <w:lvlJc w:val="left"/>
      <w:pPr>
        <w:ind w:left="720" w:hanging="360"/>
      </w:pPr>
      <w:rPr>
        <w:rFonts w:hint="default"/>
        <w:color w:val="00000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E763D65"/>
    <w:multiLevelType w:val="hybridMultilevel"/>
    <w:tmpl w:val="3812787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F478B4"/>
    <w:multiLevelType w:val="hybridMultilevel"/>
    <w:tmpl w:val="9E34D48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46574C0"/>
    <w:multiLevelType w:val="hybridMultilevel"/>
    <w:tmpl w:val="5D2A96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85515A"/>
    <w:multiLevelType w:val="hybridMultilevel"/>
    <w:tmpl w:val="84D2EB8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28237F35"/>
    <w:multiLevelType w:val="hybridMultilevel"/>
    <w:tmpl w:val="C09A49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2B0177"/>
    <w:multiLevelType w:val="hybridMultilevel"/>
    <w:tmpl w:val="C82CCA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D21D9D"/>
    <w:multiLevelType w:val="hybridMultilevel"/>
    <w:tmpl w:val="7FCC4C38"/>
    <w:lvl w:ilvl="0" w:tplc="43B00FF2">
      <w:start w:val="1"/>
      <w:numFmt w:val="bullet"/>
      <w:lvlText w:val=""/>
      <w:lvlJc w:val="left"/>
      <w:pPr>
        <w:ind w:left="720" w:hanging="360"/>
      </w:pPr>
      <w:rPr>
        <w:rFonts w:ascii="Symbol" w:hAnsi="Symbol" w:hint="default"/>
        <w:sz w:val="20"/>
        <w:szCs w:val="20"/>
      </w:rPr>
    </w:lvl>
    <w:lvl w:ilvl="1" w:tplc="040C0003">
      <w:start w:val="1"/>
      <w:numFmt w:val="bullet"/>
      <w:lvlText w:val="o"/>
      <w:lvlJc w:val="left"/>
      <w:pPr>
        <w:ind w:left="1440" w:hanging="360"/>
      </w:pPr>
      <w:rPr>
        <w:rFonts w:ascii="Courier New" w:hAnsi="Courier New" w:cs="Courier New" w:hint="default"/>
        <w:sz w:val="18"/>
        <w:szCs w:val="18"/>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582631"/>
    <w:multiLevelType w:val="multilevel"/>
    <w:tmpl w:val="DF16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7C52E8"/>
    <w:multiLevelType w:val="hybridMultilevel"/>
    <w:tmpl w:val="B8FC40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8026138"/>
    <w:multiLevelType w:val="multilevel"/>
    <w:tmpl w:val="C44E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495E5C"/>
    <w:multiLevelType w:val="hybridMultilevel"/>
    <w:tmpl w:val="5984981C"/>
    <w:lvl w:ilvl="0" w:tplc="93C8D1D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6865090"/>
    <w:multiLevelType w:val="hybridMultilevel"/>
    <w:tmpl w:val="C9D216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792A14"/>
    <w:multiLevelType w:val="hybridMultilevel"/>
    <w:tmpl w:val="DE90D09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8B93701"/>
    <w:multiLevelType w:val="hybridMultilevel"/>
    <w:tmpl w:val="BBCAAC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A6120F1"/>
    <w:multiLevelType w:val="hybridMultilevel"/>
    <w:tmpl w:val="F4423B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376F02"/>
    <w:multiLevelType w:val="multilevel"/>
    <w:tmpl w:val="C13818B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4256841"/>
    <w:multiLevelType w:val="hybridMultilevel"/>
    <w:tmpl w:val="CA18966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6305F4"/>
    <w:multiLevelType w:val="hybridMultilevel"/>
    <w:tmpl w:val="3ADA1464"/>
    <w:lvl w:ilvl="0" w:tplc="727469C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570A53"/>
    <w:multiLevelType w:val="hybridMultilevel"/>
    <w:tmpl w:val="496C18F2"/>
    <w:lvl w:ilvl="0" w:tplc="DC7E53E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6D27514"/>
    <w:multiLevelType w:val="multilevel"/>
    <w:tmpl w:val="86AAA5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57192DDE"/>
    <w:multiLevelType w:val="hybridMultilevel"/>
    <w:tmpl w:val="AC98B6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9793492"/>
    <w:multiLevelType w:val="hybridMultilevel"/>
    <w:tmpl w:val="FF784E18"/>
    <w:lvl w:ilvl="0" w:tplc="040C0009">
      <w:start w:val="1"/>
      <w:numFmt w:val="bullet"/>
      <w:lvlText w:val=""/>
      <w:lvlJc w:val="left"/>
      <w:pPr>
        <w:ind w:left="720" w:hanging="360"/>
      </w:pPr>
      <w:rPr>
        <w:rFonts w:ascii="Wingdings" w:hAnsi="Wingdings"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C526FD9"/>
    <w:multiLevelType w:val="hybridMultilevel"/>
    <w:tmpl w:val="6B8418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FB4589A"/>
    <w:multiLevelType w:val="hybridMultilevel"/>
    <w:tmpl w:val="BA80379A"/>
    <w:lvl w:ilvl="0" w:tplc="93C8D1D6">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DF3CB6"/>
    <w:multiLevelType w:val="hybridMultilevel"/>
    <w:tmpl w:val="93022B42"/>
    <w:lvl w:ilvl="0" w:tplc="6F825AA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6940E1F"/>
    <w:multiLevelType w:val="multilevel"/>
    <w:tmpl w:val="D310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7B2C2C"/>
    <w:multiLevelType w:val="hybridMultilevel"/>
    <w:tmpl w:val="22C2EC2E"/>
    <w:lvl w:ilvl="0" w:tplc="93C8D1D6">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CA70052"/>
    <w:multiLevelType w:val="multilevel"/>
    <w:tmpl w:val="03D09A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6CD025AE"/>
    <w:multiLevelType w:val="hybridMultilevel"/>
    <w:tmpl w:val="6BB67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B426FC"/>
    <w:multiLevelType w:val="multilevel"/>
    <w:tmpl w:val="90B8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5812613"/>
    <w:multiLevelType w:val="hybridMultilevel"/>
    <w:tmpl w:val="C212BA6E"/>
    <w:lvl w:ilvl="0" w:tplc="040C0003">
      <w:start w:val="1"/>
      <w:numFmt w:val="bullet"/>
      <w:lvlText w:val="o"/>
      <w:lvlJc w:val="left"/>
      <w:pPr>
        <w:ind w:left="1440" w:hanging="360"/>
      </w:pPr>
      <w:rPr>
        <w:rFonts w:ascii="Courier New" w:hAnsi="Courier New" w:cs="Courier New" w:hint="default"/>
        <w:color w:val="00000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15:restartNumberingAfterBreak="0">
    <w:nsid w:val="7C615AAF"/>
    <w:multiLevelType w:val="multilevel"/>
    <w:tmpl w:val="749E3282"/>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CAD5A5E"/>
    <w:multiLevelType w:val="hybridMultilevel"/>
    <w:tmpl w:val="3814CE9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7" w15:restartNumberingAfterBreak="0">
    <w:nsid w:val="7FC86CC7"/>
    <w:multiLevelType w:val="hybridMultilevel"/>
    <w:tmpl w:val="A48C4094"/>
    <w:lvl w:ilvl="0" w:tplc="0220D428">
      <w:start w:val="1"/>
      <w:numFmt w:val="lowerLetter"/>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5"/>
  </w:num>
  <w:num w:numId="2">
    <w:abstractNumId w:val="24"/>
  </w:num>
  <w:num w:numId="3">
    <w:abstractNumId w:val="8"/>
  </w:num>
  <w:num w:numId="4">
    <w:abstractNumId w:val="0"/>
  </w:num>
  <w:num w:numId="5">
    <w:abstractNumId w:val="23"/>
  </w:num>
  <w:num w:numId="6">
    <w:abstractNumId w:val="1"/>
  </w:num>
  <w:num w:numId="7">
    <w:abstractNumId w:val="19"/>
  </w:num>
  <w:num w:numId="8">
    <w:abstractNumId w:val="4"/>
  </w:num>
  <w:num w:numId="9">
    <w:abstractNumId w:val="26"/>
  </w:num>
  <w:num w:numId="10">
    <w:abstractNumId w:val="36"/>
  </w:num>
  <w:num w:numId="11">
    <w:abstractNumId w:val="32"/>
  </w:num>
  <w:num w:numId="12">
    <w:abstractNumId w:val="18"/>
  </w:num>
  <w:num w:numId="13">
    <w:abstractNumId w:val="37"/>
  </w:num>
  <w:num w:numId="14">
    <w:abstractNumId w:val="17"/>
  </w:num>
  <w:num w:numId="15">
    <w:abstractNumId w:val="35"/>
  </w:num>
  <w:num w:numId="16">
    <w:abstractNumId w:val="30"/>
  </w:num>
  <w:num w:numId="17">
    <w:abstractNumId w:val="27"/>
  </w:num>
  <w:num w:numId="18">
    <w:abstractNumId w:val="14"/>
  </w:num>
  <w:num w:numId="19">
    <w:abstractNumId w:val="2"/>
  </w:num>
  <w:num w:numId="20">
    <w:abstractNumId w:val="34"/>
  </w:num>
  <w:num w:numId="21">
    <w:abstractNumId w:val="31"/>
  </w:num>
  <w:num w:numId="22">
    <w:abstractNumId w:val="21"/>
  </w:num>
  <w:num w:numId="23">
    <w:abstractNumId w:val="3"/>
  </w:num>
  <w:num w:numId="24">
    <w:abstractNumId w:val="15"/>
  </w:num>
  <w:num w:numId="25">
    <w:abstractNumId w:val="5"/>
  </w:num>
  <w:num w:numId="26">
    <w:abstractNumId w:val="9"/>
  </w:num>
  <w:num w:numId="27">
    <w:abstractNumId w:val="28"/>
  </w:num>
  <w:num w:numId="28">
    <w:abstractNumId w:val="10"/>
  </w:num>
  <w:num w:numId="29">
    <w:abstractNumId w:val="16"/>
  </w:num>
  <w:num w:numId="30">
    <w:abstractNumId w:val="20"/>
  </w:num>
  <w:num w:numId="31">
    <w:abstractNumId w:val="13"/>
  </w:num>
  <w:num w:numId="32">
    <w:abstractNumId w:val="12"/>
  </w:num>
  <w:num w:numId="33">
    <w:abstractNumId w:val="29"/>
  </w:num>
  <w:num w:numId="34">
    <w:abstractNumId w:val="33"/>
  </w:num>
  <w:num w:numId="35">
    <w:abstractNumId w:val="11"/>
  </w:num>
  <w:num w:numId="36">
    <w:abstractNumId w:val="6"/>
  </w:num>
  <w:num w:numId="37">
    <w:abstractNumId w:val="7"/>
  </w:num>
  <w:num w:numId="38">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A7A"/>
    <w:rsid w:val="00000789"/>
    <w:rsid w:val="0000784C"/>
    <w:rsid w:val="000612E2"/>
    <w:rsid w:val="00063C21"/>
    <w:rsid w:val="000737E3"/>
    <w:rsid w:val="000859DD"/>
    <w:rsid w:val="00085BC8"/>
    <w:rsid w:val="000A3C06"/>
    <w:rsid w:val="000A4C59"/>
    <w:rsid w:val="000D6567"/>
    <w:rsid w:val="00113FC1"/>
    <w:rsid w:val="001157E8"/>
    <w:rsid w:val="00126643"/>
    <w:rsid w:val="00131F51"/>
    <w:rsid w:val="00132B25"/>
    <w:rsid w:val="00135123"/>
    <w:rsid w:val="00150895"/>
    <w:rsid w:val="001532C5"/>
    <w:rsid w:val="00161C77"/>
    <w:rsid w:val="0016461D"/>
    <w:rsid w:val="00177870"/>
    <w:rsid w:val="00182862"/>
    <w:rsid w:val="00193A84"/>
    <w:rsid w:val="001A3F51"/>
    <w:rsid w:val="001D2774"/>
    <w:rsid w:val="001E352D"/>
    <w:rsid w:val="001E4E11"/>
    <w:rsid w:val="001E6E6B"/>
    <w:rsid w:val="002042C6"/>
    <w:rsid w:val="002045AD"/>
    <w:rsid w:val="00215F14"/>
    <w:rsid w:val="0022061A"/>
    <w:rsid w:val="00222CD7"/>
    <w:rsid w:val="0023081F"/>
    <w:rsid w:val="0025607C"/>
    <w:rsid w:val="002639B5"/>
    <w:rsid w:val="00275F56"/>
    <w:rsid w:val="002D72E1"/>
    <w:rsid w:val="002E4CAC"/>
    <w:rsid w:val="002E617A"/>
    <w:rsid w:val="002F3128"/>
    <w:rsid w:val="002F3BFD"/>
    <w:rsid w:val="00303688"/>
    <w:rsid w:val="003156D1"/>
    <w:rsid w:val="003177E6"/>
    <w:rsid w:val="00324F73"/>
    <w:rsid w:val="00350E2C"/>
    <w:rsid w:val="00361E16"/>
    <w:rsid w:val="00365728"/>
    <w:rsid w:val="00376A1B"/>
    <w:rsid w:val="00386D90"/>
    <w:rsid w:val="003874AD"/>
    <w:rsid w:val="00395718"/>
    <w:rsid w:val="003C1CE9"/>
    <w:rsid w:val="003C65E0"/>
    <w:rsid w:val="003D3390"/>
    <w:rsid w:val="003D3D43"/>
    <w:rsid w:val="003E495D"/>
    <w:rsid w:val="003E4F61"/>
    <w:rsid w:val="00405407"/>
    <w:rsid w:val="00422262"/>
    <w:rsid w:val="00424EB5"/>
    <w:rsid w:val="00426B6E"/>
    <w:rsid w:val="00427A98"/>
    <w:rsid w:val="00432036"/>
    <w:rsid w:val="00442EF9"/>
    <w:rsid w:val="00457048"/>
    <w:rsid w:val="004577C6"/>
    <w:rsid w:val="00473B51"/>
    <w:rsid w:val="0047490B"/>
    <w:rsid w:val="00483B22"/>
    <w:rsid w:val="004970FF"/>
    <w:rsid w:val="004A1E3C"/>
    <w:rsid w:val="004C4338"/>
    <w:rsid w:val="004D3B6D"/>
    <w:rsid w:val="004E39AF"/>
    <w:rsid w:val="004E6A54"/>
    <w:rsid w:val="004F3692"/>
    <w:rsid w:val="004F6730"/>
    <w:rsid w:val="00510D32"/>
    <w:rsid w:val="005244CB"/>
    <w:rsid w:val="00525A9A"/>
    <w:rsid w:val="005306A4"/>
    <w:rsid w:val="005353E8"/>
    <w:rsid w:val="00543AE9"/>
    <w:rsid w:val="00545CDD"/>
    <w:rsid w:val="00573E7A"/>
    <w:rsid w:val="00574CCC"/>
    <w:rsid w:val="00574F45"/>
    <w:rsid w:val="005914CC"/>
    <w:rsid w:val="005A02F2"/>
    <w:rsid w:val="005A4B06"/>
    <w:rsid w:val="005A58BC"/>
    <w:rsid w:val="005A5B76"/>
    <w:rsid w:val="005C142B"/>
    <w:rsid w:val="005C1A02"/>
    <w:rsid w:val="005D688C"/>
    <w:rsid w:val="005D6DA2"/>
    <w:rsid w:val="005F2615"/>
    <w:rsid w:val="005F526A"/>
    <w:rsid w:val="00600F1E"/>
    <w:rsid w:val="00610D96"/>
    <w:rsid w:val="0063199B"/>
    <w:rsid w:val="00631FB2"/>
    <w:rsid w:val="00635EBC"/>
    <w:rsid w:val="00642464"/>
    <w:rsid w:val="006439D5"/>
    <w:rsid w:val="00651AD0"/>
    <w:rsid w:val="00662F38"/>
    <w:rsid w:val="00676BA1"/>
    <w:rsid w:val="00685D12"/>
    <w:rsid w:val="00686540"/>
    <w:rsid w:val="006E16ED"/>
    <w:rsid w:val="006F026E"/>
    <w:rsid w:val="006F1B3E"/>
    <w:rsid w:val="007060FD"/>
    <w:rsid w:val="00712DFE"/>
    <w:rsid w:val="007224B2"/>
    <w:rsid w:val="00727DAD"/>
    <w:rsid w:val="00730E8F"/>
    <w:rsid w:val="00792134"/>
    <w:rsid w:val="00793628"/>
    <w:rsid w:val="007D22D9"/>
    <w:rsid w:val="007D2AF6"/>
    <w:rsid w:val="00803329"/>
    <w:rsid w:val="00807D10"/>
    <w:rsid w:val="0081621C"/>
    <w:rsid w:val="00831FBF"/>
    <w:rsid w:val="00832CAD"/>
    <w:rsid w:val="00834A96"/>
    <w:rsid w:val="00841D41"/>
    <w:rsid w:val="00843C8A"/>
    <w:rsid w:val="00860F13"/>
    <w:rsid w:val="00866B8A"/>
    <w:rsid w:val="00870157"/>
    <w:rsid w:val="008727BC"/>
    <w:rsid w:val="00877E97"/>
    <w:rsid w:val="00885F07"/>
    <w:rsid w:val="008905FB"/>
    <w:rsid w:val="008A3273"/>
    <w:rsid w:val="008A6BF1"/>
    <w:rsid w:val="008A722B"/>
    <w:rsid w:val="008C0DA3"/>
    <w:rsid w:val="008C6559"/>
    <w:rsid w:val="008D2536"/>
    <w:rsid w:val="008D2BE9"/>
    <w:rsid w:val="008D4C40"/>
    <w:rsid w:val="008E3663"/>
    <w:rsid w:val="008E72F3"/>
    <w:rsid w:val="008F2E0F"/>
    <w:rsid w:val="008F6662"/>
    <w:rsid w:val="00902626"/>
    <w:rsid w:val="00906E03"/>
    <w:rsid w:val="00922AEC"/>
    <w:rsid w:val="00943A7A"/>
    <w:rsid w:val="00953B43"/>
    <w:rsid w:val="00954C45"/>
    <w:rsid w:val="00976265"/>
    <w:rsid w:val="00984B26"/>
    <w:rsid w:val="00993960"/>
    <w:rsid w:val="00994B07"/>
    <w:rsid w:val="00995388"/>
    <w:rsid w:val="009B0090"/>
    <w:rsid w:val="009C19EA"/>
    <w:rsid w:val="009C35C3"/>
    <w:rsid w:val="009E4F52"/>
    <w:rsid w:val="009F32D4"/>
    <w:rsid w:val="00A076DB"/>
    <w:rsid w:val="00A100BA"/>
    <w:rsid w:val="00A15A2B"/>
    <w:rsid w:val="00A236B4"/>
    <w:rsid w:val="00A33994"/>
    <w:rsid w:val="00A344D3"/>
    <w:rsid w:val="00A41CEB"/>
    <w:rsid w:val="00A449AB"/>
    <w:rsid w:val="00A5362A"/>
    <w:rsid w:val="00A844BF"/>
    <w:rsid w:val="00AB094A"/>
    <w:rsid w:val="00AB4371"/>
    <w:rsid w:val="00AB6670"/>
    <w:rsid w:val="00AC1EE2"/>
    <w:rsid w:val="00AE1254"/>
    <w:rsid w:val="00AF0DE1"/>
    <w:rsid w:val="00AF4222"/>
    <w:rsid w:val="00B74843"/>
    <w:rsid w:val="00B82EB0"/>
    <w:rsid w:val="00B83ED3"/>
    <w:rsid w:val="00B87B0B"/>
    <w:rsid w:val="00B92D19"/>
    <w:rsid w:val="00B966B2"/>
    <w:rsid w:val="00BA02B5"/>
    <w:rsid w:val="00BB2103"/>
    <w:rsid w:val="00BB5EE2"/>
    <w:rsid w:val="00BC7C31"/>
    <w:rsid w:val="00BD550A"/>
    <w:rsid w:val="00BD5D1F"/>
    <w:rsid w:val="00BE083B"/>
    <w:rsid w:val="00BE2532"/>
    <w:rsid w:val="00BE294B"/>
    <w:rsid w:val="00BF77B1"/>
    <w:rsid w:val="00C03D81"/>
    <w:rsid w:val="00C24BDF"/>
    <w:rsid w:val="00C3026C"/>
    <w:rsid w:val="00C45461"/>
    <w:rsid w:val="00C51C2F"/>
    <w:rsid w:val="00C5721B"/>
    <w:rsid w:val="00C642AC"/>
    <w:rsid w:val="00C70EBB"/>
    <w:rsid w:val="00C74916"/>
    <w:rsid w:val="00C76353"/>
    <w:rsid w:val="00C77B80"/>
    <w:rsid w:val="00C77C83"/>
    <w:rsid w:val="00CB0CAD"/>
    <w:rsid w:val="00CB37EE"/>
    <w:rsid w:val="00CB542F"/>
    <w:rsid w:val="00CC7B82"/>
    <w:rsid w:val="00CE353E"/>
    <w:rsid w:val="00CE6FE1"/>
    <w:rsid w:val="00CE7E6F"/>
    <w:rsid w:val="00CF73B6"/>
    <w:rsid w:val="00D04487"/>
    <w:rsid w:val="00D35AB9"/>
    <w:rsid w:val="00D41D79"/>
    <w:rsid w:val="00D46EB0"/>
    <w:rsid w:val="00D64890"/>
    <w:rsid w:val="00D6651C"/>
    <w:rsid w:val="00D75594"/>
    <w:rsid w:val="00D85B6A"/>
    <w:rsid w:val="00D862CE"/>
    <w:rsid w:val="00DA2E2C"/>
    <w:rsid w:val="00DC09EA"/>
    <w:rsid w:val="00DC2AC7"/>
    <w:rsid w:val="00DC683F"/>
    <w:rsid w:val="00E022ED"/>
    <w:rsid w:val="00E11B76"/>
    <w:rsid w:val="00E174FF"/>
    <w:rsid w:val="00E20DB3"/>
    <w:rsid w:val="00E377EE"/>
    <w:rsid w:val="00E57B06"/>
    <w:rsid w:val="00E765D8"/>
    <w:rsid w:val="00E82367"/>
    <w:rsid w:val="00EA010C"/>
    <w:rsid w:val="00EA09C2"/>
    <w:rsid w:val="00EB5FE1"/>
    <w:rsid w:val="00EC48DA"/>
    <w:rsid w:val="00EE4EAD"/>
    <w:rsid w:val="00EE5AAC"/>
    <w:rsid w:val="00EE6038"/>
    <w:rsid w:val="00EF22CE"/>
    <w:rsid w:val="00F06138"/>
    <w:rsid w:val="00F2596E"/>
    <w:rsid w:val="00F30988"/>
    <w:rsid w:val="00F54209"/>
    <w:rsid w:val="00F749F1"/>
    <w:rsid w:val="00F775D2"/>
    <w:rsid w:val="00F87867"/>
    <w:rsid w:val="00F93DAE"/>
    <w:rsid w:val="00FA16FD"/>
    <w:rsid w:val="00FB5261"/>
    <w:rsid w:val="00FB5FEA"/>
    <w:rsid w:val="00FC7DBE"/>
    <w:rsid w:val="00FD7BE9"/>
    <w:rsid w:val="00FE06CE"/>
    <w:rsid w:val="00FE25C2"/>
    <w:rsid w:val="00FE3F16"/>
    <w:rsid w:val="00FE7C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3210B"/>
  <w15:chartTrackingRefBased/>
  <w15:docId w15:val="{CDBAC145-1381-49B0-8022-618FE9BF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A7A"/>
    <w:pPr>
      <w:keepLines/>
      <w:spacing w:after="0" w:line="240" w:lineRule="auto"/>
    </w:pPr>
    <w:rPr>
      <w:rFonts w:ascii="Arial" w:eastAsia="Times New Roman" w:hAnsi="Arial" w:cs="Times New Roman"/>
      <w:sz w:val="20"/>
      <w:szCs w:val="20"/>
      <w:lang w:eastAsia="fr-FR"/>
    </w:rPr>
  </w:style>
  <w:style w:type="paragraph" w:styleId="Titre1">
    <w:name w:val="heading 1"/>
    <w:basedOn w:val="Normal"/>
    <w:next w:val="Normal"/>
    <w:link w:val="Titre1Car"/>
    <w:uiPriority w:val="9"/>
    <w:qFormat/>
    <w:rsid w:val="00943A7A"/>
    <w:pPr>
      <w:keepNext/>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922AEC"/>
    <w:pPr>
      <w:keepNext/>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922AEC"/>
    <w:pPr>
      <w:keepNext/>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F30988"/>
    <w:pPr>
      <w:keepNext/>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43A7A"/>
    <w:rPr>
      <w:rFonts w:asciiTheme="majorHAnsi" w:eastAsiaTheme="majorEastAsia" w:hAnsiTheme="majorHAnsi" w:cstheme="majorBidi"/>
      <w:b/>
      <w:bCs/>
      <w:color w:val="2F5496" w:themeColor="accent1" w:themeShade="BF"/>
      <w:sz w:val="28"/>
      <w:szCs w:val="28"/>
      <w:lang w:eastAsia="fr-FR"/>
    </w:rPr>
  </w:style>
  <w:style w:type="paragraph" w:styleId="En-tte">
    <w:name w:val="header"/>
    <w:basedOn w:val="Normal"/>
    <w:link w:val="En-tteCar"/>
    <w:rsid w:val="00943A7A"/>
    <w:pPr>
      <w:tabs>
        <w:tab w:val="center" w:pos="4536"/>
        <w:tab w:val="right" w:pos="9072"/>
      </w:tabs>
    </w:pPr>
  </w:style>
  <w:style w:type="character" w:customStyle="1" w:styleId="En-tteCar">
    <w:name w:val="En-tête Car"/>
    <w:basedOn w:val="Policepardfaut"/>
    <w:link w:val="En-tte"/>
    <w:rsid w:val="00943A7A"/>
    <w:rPr>
      <w:rFonts w:ascii="Arial" w:eastAsia="Times New Roman" w:hAnsi="Arial" w:cs="Times New Roman"/>
      <w:sz w:val="20"/>
      <w:szCs w:val="20"/>
      <w:lang w:eastAsia="fr-FR"/>
    </w:rPr>
  </w:style>
  <w:style w:type="paragraph" w:styleId="Pieddepage">
    <w:name w:val="footer"/>
    <w:basedOn w:val="Normal"/>
    <w:link w:val="PieddepageCar"/>
    <w:uiPriority w:val="99"/>
    <w:rsid w:val="00943A7A"/>
    <w:pPr>
      <w:tabs>
        <w:tab w:val="center" w:pos="4536"/>
        <w:tab w:val="right" w:pos="9072"/>
      </w:tabs>
    </w:pPr>
  </w:style>
  <w:style w:type="character" w:customStyle="1" w:styleId="PieddepageCar">
    <w:name w:val="Pied de page Car"/>
    <w:basedOn w:val="Policepardfaut"/>
    <w:link w:val="Pieddepage"/>
    <w:uiPriority w:val="99"/>
    <w:rsid w:val="00943A7A"/>
    <w:rPr>
      <w:rFonts w:ascii="Arial" w:eastAsia="Times New Roman" w:hAnsi="Arial" w:cs="Times New Roman"/>
      <w:sz w:val="20"/>
      <w:szCs w:val="20"/>
      <w:lang w:eastAsia="fr-FR"/>
    </w:rPr>
  </w:style>
  <w:style w:type="character" w:styleId="Lienhypertexte">
    <w:name w:val="Hyperlink"/>
    <w:basedOn w:val="Policepardfaut"/>
    <w:uiPriority w:val="99"/>
    <w:rsid w:val="00943A7A"/>
    <w:rPr>
      <w:color w:val="0000FF"/>
      <w:u w:val="single"/>
    </w:rPr>
  </w:style>
  <w:style w:type="character" w:styleId="Numrodepage">
    <w:name w:val="page number"/>
    <w:basedOn w:val="Policepardfaut"/>
    <w:rsid w:val="00943A7A"/>
  </w:style>
  <w:style w:type="paragraph" w:styleId="Paragraphedeliste">
    <w:name w:val="List Paragraph"/>
    <w:basedOn w:val="Normal"/>
    <w:uiPriority w:val="34"/>
    <w:qFormat/>
    <w:rsid w:val="00943A7A"/>
    <w:pPr>
      <w:ind w:left="720"/>
      <w:contextualSpacing/>
    </w:pPr>
  </w:style>
  <w:style w:type="character" w:styleId="lev">
    <w:name w:val="Strong"/>
    <w:basedOn w:val="Policepardfaut"/>
    <w:uiPriority w:val="22"/>
    <w:qFormat/>
    <w:rsid w:val="00943A7A"/>
    <w:rPr>
      <w:b/>
      <w:bCs/>
      <w:spacing w:val="0"/>
    </w:rPr>
  </w:style>
  <w:style w:type="character" w:styleId="Rfrencelgre">
    <w:name w:val="Subtle Reference"/>
    <w:aliases w:val="TITRE 3"/>
    <w:uiPriority w:val="31"/>
    <w:qFormat/>
    <w:rsid w:val="00943A7A"/>
    <w:rPr>
      <w:color w:val="auto"/>
      <w:u w:val="single" w:color="A5A5A5" w:themeColor="accent3"/>
    </w:rPr>
  </w:style>
  <w:style w:type="character" w:styleId="Accentuation">
    <w:name w:val="Emphasis"/>
    <w:basedOn w:val="Policepardfaut"/>
    <w:qFormat/>
    <w:rsid w:val="00943A7A"/>
    <w:rPr>
      <w:i/>
      <w:iCs/>
    </w:rPr>
  </w:style>
  <w:style w:type="paragraph" w:styleId="Titre">
    <w:name w:val="Title"/>
    <w:basedOn w:val="Normal"/>
    <w:next w:val="Normal"/>
    <w:link w:val="TitreCar"/>
    <w:uiPriority w:val="10"/>
    <w:qFormat/>
    <w:rsid w:val="00943A7A"/>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rsid w:val="00943A7A"/>
    <w:rPr>
      <w:rFonts w:asciiTheme="majorHAnsi" w:eastAsiaTheme="majorEastAsia" w:hAnsiTheme="majorHAnsi" w:cstheme="majorBidi"/>
      <w:color w:val="323E4F" w:themeColor="text2" w:themeShade="BF"/>
      <w:spacing w:val="5"/>
      <w:kern w:val="28"/>
      <w:sz w:val="52"/>
      <w:szCs w:val="52"/>
      <w:lang w:eastAsia="fr-FR"/>
    </w:rPr>
  </w:style>
  <w:style w:type="character" w:styleId="Titredulivre">
    <w:name w:val="Book Title"/>
    <w:basedOn w:val="Policepardfaut"/>
    <w:uiPriority w:val="33"/>
    <w:qFormat/>
    <w:rsid w:val="00943A7A"/>
    <w:rPr>
      <w:b/>
      <w:bCs/>
      <w:smallCaps/>
      <w:spacing w:val="5"/>
    </w:rPr>
  </w:style>
  <w:style w:type="paragraph" w:customStyle="1" w:styleId="Default">
    <w:name w:val="Default"/>
    <w:rsid w:val="00943A7A"/>
    <w:pPr>
      <w:autoSpaceDE w:val="0"/>
      <w:autoSpaceDN w:val="0"/>
      <w:adjustRightInd w:val="0"/>
      <w:spacing w:after="0" w:line="240" w:lineRule="auto"/>
    </w:pPr>
    <w:rPr>
      <w:rFonts w:ascii="Arial" w:eastAsia="Times New Roman" w:hAnsi="Arial" w:cs="Arial"/>
      <w:color w:val="000000"/>
      <w:sz w:val="24"/>
      <w:szCs w:val="24"/>
    </w:rPr>
  </w:style>
  <w:style w:type="character" w:styleId="Marquedecommentaire">
    <w:name w:val="annotation reference"/>
    <w:basedOn w:val="Policepardfaut"/>
    <w:semiHidden/>
    <w:unhideWhenUsed/>
    <w:rsid w:val="00943A7A"/>
    <w:rPr>
      <w:sz w:val="16"/>
      <w:szCs w:val="16"/>
    </w:rPr>
  </w:style>
  <w:style w:type="paragraph" w:styleId="Commentaire">
    <w:name w:val="annotation text"/>
    <w:basedOn w:val="Normal"/>
    <w:link w:val="CommentaireCar"/>
    <w:semiHidden/>
    <w:unhideWhenUsed/>
    <w:rsid w:val="00943A7A"/>
  </w:style>
  <w:style w:type="character" w:customStyle="1" w:styleId="CommentaireCar">
    <w:name w:val="Commentaire Car"/>
    <w:basedOn w:val="Policepardfaut"/>
    <w:link w:val="Commentaire"/>
    <w:semiHidden/>
    <w:rsid w:val="00943A7A"/>
    <w:rPr>
      <w:rFonts w:ascii="Arial" w:eastAsia="Times New Roman" w:hAnsi="Arial" w:cs="Times New Roman"/>
      <w:sz w:val="20"/>
      <w:szCs w:val="20"/>
      <w:lang w:eastAsia="fr-FR"/>
    </w:rPr>
  </w:style>
  <w:style w:type="paragraph" w:styleId="En-ttedetabledesmatires">
    <w:name w:val="TOC Heading"/>
    <w:basedOn w:val="Titre1"/>
    <w:next w:val="Normal"/>
    <w:uiPriority w:val="39"/>
    <w:unhideWhenUsed/>
    <w:qFormat/>
    <w:rsid w:val="00943A7A"/>
    <w:pPr>
      <w:spacing w:before="240" w:line="259" w:lineRule="auto"/>
      <w:outlineLvl w:val="9"/>
    </w:pPr>
    <w:rPr>
      <w:b w:val="0"/>
      <w:bCs w:val="0"/>
      <w:sz w:val="32"/>
      <w:szCs w:val="32"/>
    </w:rPr>
  </w:style>
  <w:style w:type="paragraph" w:styleId="TM1">
    <w:name w:val="toc 1"/>
    <w:basedOn w:val="Normal"/>
    <w:next w:val="Normal"/>
    <w:autoRedefine/>
    <w:uiPriority w:val="39"/>
    <w:unhideWhenUsed/>
    <w:rsid w:val="00EE6038"/>
    <w:pPr>
      <w:tabs>
        <w:tab w:val="right" w:leader="dot" w:pos="9345"/>
      </w:tabs>
      <w:spacing w:after="100"/>
    </w:pPr>
    <w:rPr>
      <w:rFonts w:cs="Arial"/>
      <w:b/>
      <w:bCs/>
      <w:noProof/>
    </w:rPr>
  </w:style>
  <w:style w:type="character" w:customStyle="1" w:styleId="Titre2Car">
    <w:name w:val="Titre 2 Car"/>
    <w:basedOn w:val="Policepardfaut"/>
    <w:link w:val="Titre2"/>
    <w:uiPriority w:val="9"/>
    <w:rsid w:val="00922AEC"/>
    <w:rPr>
      <w:rFonts w:asciiTheme="majorHAnsi" w:eastAsiaTheme="majorEastAsia" w:hAnsiTheme="majorHAnsi" w:cstheme="majorBidi"/>
      <w:color w:val="2F5496" w:themeColor="accent1" w:themeShade="BF"/>
      <w:sz w:val="26"/>
      <w:szCs w:val="26"/>
      <w:lang w:eastAsia="fr-FR"/>
    </w:rPr>
  </w:style>
  <w:style w:type="character" w:customStyle="1" w:styleId="Titre3Car">
    <w:name w:val="Titre 3 Car"/>
    <w:basedOn w:val="Policepardfaut"/>
    <w:link w:val="Titre3"/>
    <w:uiPriority w:val="9"/>
    <w:rsid w:val="00922AEC"/>
    <w:rPr>
      <w:rFonts w:asciiTheme="majorHAnsi" w:eastAsiaTheme="majorEastAsia" w:hAnsiTheme="majorHAnsi" w:cstheme="majorBidi"/>
      <w:color w:val="1F3763" w:themeColor="accent1" w:themeShade="7F"/>
      <w:sz w:val="24"/>
      <w:szCs w:val="24"/>
      <w:lang w:eastAsia="fr-FR"/>
    </w:rPr>
  </w:style>
  <w:style w:type="paragraph" w:styleId="TM2">
    <w:name w:val="toc 2"/>
    <w:basedOn w:val="Normal"/>
    <w:next w:val="Normal"/>
    <w:autoRedefine/>
    <w:uiPriority w:val="39"/>
    <w:unhideWhenUsed/>
    <w:rsid w:val="00545CDD"/>
    <w:pPr>
      <w:spacing w:after="100"/>
      <w:ind w:left="200"/>
    </w:pPr>
  </w:style>
  <w:style w:type="paragraph" w:styleId="Objetducommentaire">
    <w:name w:val="annotation subject"/>
    <w:basedOn w:val="Commentaire"/>
    <w:next w:val="Commentaire"/>
    <w:link w:val="ObjetducommentaireCar"/>
    <w:uiPriority w:val="99"/>
    <w:semiHidden/>
    <w:unhideWhenUsed/>
    <w:rsid w:val="00063C21"/>
    <w:rPr>
      <w:b/>
      <w:bCs/>
    </w:rPr>
  </w:style>
  <w:style w:type="character" w:customStyle="1" w:styleId="ObjetducommentaireCar">
    <w:name w:val="Objet du commentaire Car"/>
    <w:basedOn w:val="CommentaireCar"/>
    <w:link w:val="Objetducommentaire"/>
    <w:uiPriority w:val="99"/>
    <w:semiHidden/>
    <w:rsid w:val="00063C21"/>
    <w:rPr>
      <w:rFonts w:ascii="Arial" w:eastAsia="Times New Roman" w:hAnsi="Arial" w:cs="Times New Roman"/>
      <w:b/>
      <w:bCs/>
      <w:sz w:val="20"/>
      <w:szCs w:val="20"/>
      <w:lang w:eastAsia="fr-FR"/>
    </w:rPr>
  </w:style>
  <w:style w:type="paragraph" w:styleId="Sansinterligne">
    <w:name w:val="No Spacing"/>
    <w:link w:val="SansinterligneCar"/>
    <w:uiPriority w:val="1"/>
    <w:qFormat/>
    <w:rsid w:val="00841D41"/>
    <w:pPr>
      <w:keepLines/>
      <w:spacing w:after="0" w:line="240" w:lineRule="auto"/>
    </w:pPr>
    <w:rPr>
      <w:rFonts w:ascii="Arial" w:eastAsia="Times New Roman" w:hAnsi="Arial" w:cs="Times New Roman"/>
      <w:sz w:val="20"/>
      <w:szCs w:val="20"/>
      <w:lang w:eastAsia="fr-FR"/>
    </w:rPr>
  </w:style>
  <w:style w:type="character" w:customStyle="1" w:styleId="Titre4Car">
    <w:name w:val="Titre 4 Car"/>
    <w:basedOn w:val="Policepardfaut"/>
    <w:link w:val="Titre4"/>
    <w:uiPriority w:val="9"/>
    <w:rsid w:val="00F30988"/>
    <w:rPr>
      <w:rFonts w:asciiTheme="majorHAnsi" w:eastAsiaTheme="majorEastAsia" w:hAnsiTheme="majorHAnsi" w:cstheme="majorBidi"/>
      <w:i/>
      <w:iCs/>
      <w:color w:val="2F5496" w:themeColor="accent1" w:themeShade="BF"/>
      <w:sz w:val="20"/>
      <w:szCs w:val="20"/>
      <w:lang w:eastAsia="fr-FR"/>
    </w:rPr>
  </w:style>
  <w:style w:type="paragraph" w:styleId="TM3">
    <w:name w:val="toc 3"/>
    <w:basedOn w:val="Normal"/>
    <w:next w:val="Normal"/>
    <w:autoRedefine/>
    <w:uiPriority w:val="39"/>
    <w:unhideWhenUsed/>
    <w:rsid w:val="00303688"/>
    <w:pPr>
      <w:spacing w:after="100"/>
      <w:ind w:left="400"/>
    </w:pPr>
  </w:style>
  <w:style w:type="character" w:styleId="Numrodeligne">
    <w:name w:val="line number"/>
    <w:basedOn w:val="Policepardfaut"/>
    <w:uiPriority w:val="99"/>
    <w:semiHidden/>
    <w:unhideWhenUsed/>
    <w:rsid w:val="000A4C59"/>
  </w:style>
  <w:style w:type="character" w:customStyle="1" w:styleId="SansinterligneCar">
    <w:name w:val="Sans interligne Car"/>
    <w:basedOn w:val="Policepardfaut"/>
    <w:link w:val="Sansinterligne"/>
    <w:uiPriority w:val="1"/>
    <w:rsid w:val="00FA16FD"/>
    <w:rPr>
      <w:rFonts w:ascii="Arial" w:eastAsia="Times New Roman" w:hAnsi="Arial" w:cs="Times New Roman"/>
      <w:sz w:val="20"/>
      <w:szCs w:val="20"/>
      <w:lang w:eastAsia="fr-FR"/>
    </w:rPr>
  </w:style>
  <w:style w:type="paragraph" w:styleId="Rvision">
    <w:name w:val="Revision"/>
    <w:hidden/>
    <w:uiPriority w:val="99"/>
    <w:semiHidden/>
    <w:rsid w:val="00FD7BE9"/>
    <w:pPr>
      <w:spacing w:after="0" w:line="240" w:lineRule="auto"/>
    </w:pPr>
    <w:rPr>
      <w:rFonts w:ascii="Arial" w:eastAsia="Times New Roman" w:hAnsi="Arial" w:cs="Times New Roman"/>
      <w:sz w:val="20"/>
      <w:szCs w:val="20"/>
      <w:lang w:eastAsia="fr-FR"/>
    </w:rPr>
  </w:style>
  <w:style w:type="paragraph" w:styleId="Textedebulles">
    <w:name w:val="Balloon Text"/>
    <w:basedOn w:val="Normal"/>
    <w:link w:val="TextedebullesCar"/>
    <w:uiPriority w:val="99"/>
    <w:semiHidden/>
    <w:unhideWhenUsed/>
    <w:rsid w:val="00BE2532"/>
    <w:rPr>
      <w:rFonts w:ascii="Segoe UI" w:hAnsi="Segoe UI" w:cs="Segoe UI"/>
      <w:sz w:val="18"/>
      <w:szCs w:val="18"/>
    </w:rPr>
  </w:style>
  <w:style w:type="character" w:customStyle="1" w:styleId="TextedebullesCar">
    <w:name w:val="Texte de bulles Car"/>
    <w:basedOn w:val="Policepardfaut"/>
    <w:link w:val="Textedebulles"/>
    <w:uiPriority w:val="99"/>
    <w:semiHidden/>
    <w:rsid w:val="00BE2532"/>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2639B5"/>
    <w:pPr>
      <w:keepLines w:val="0"/>
    </w:pPr>
    <w:rPr>
      <w:rFonts w:ascii="Times New Roman" w:hAnsi="Times New Roman"/>
    </w:rPr>
  </w:style>
  <w:style w:type="character" w:customStyle="1" w:styleId="NotedebasdepageCar">
    <w:name w:val="Note de bas de page Car"/>
    <w:basedOn w:val="Policepardfaut"/>
    <w:link w:val="Notedebasdepage"/>
    <w:uiPriority w:val="99"/>
    <w:semiHidden/>
    <w:rsid w:val="002639B5"/>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2639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11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gifrance.gouv.fr/affichTexte.do?cidTexte=JORFTEXT000031700731&amp;fastPos=2&amp;fastReqId=2132023794&amp;categorieLien=cid&amp;oldAction=rechTexte" TargetMode="External"/><Relationship Id="rId17" Type="http://schemas.openxmlformats.org/officeDocument/2006/relationships/package" Target="embeddings/Microsoft_Excel_Worksheet.xlsx"/><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telerecours.fr" TargetMode="Externa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orse.ars.sante.fr/priac-2020" TargetMode="External"/><Relationship Id="rId1" Type="http://schemas.openxmlformats.org/officeDocument/2006/relationships/hyperlink" Target="https://www.corse.ars.sante.fr/lars-publie-son-projet-regional-de-sante-pr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CAB6B-5AF1-41F9-AA59-986313FAE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21</Pages>
  <Words>9042</Words>
  <Characters>49732</Characters>
  <Application>Microsoft Office Word</Application>
  <DocSecurity>0</DocSecurity>
  <Lines>414</Lines>
  <Paragraphs>117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perellimanon@gmail.com</dc:creator>
  <cp:keywords/>
  <dc:description/>
  <cp:lastModifiedBy>perellimanon@gmail.com</cp:lastModifiedBy>
  <cp:revision>5</cp:revision>
  <dcterms:created xsi:type="dcterms:W3CDTF">2021-04-13T10:44:00Z</dcterms:created>
  <dcterms:modified xsi:type="dcterms:W3CDTF">2021-04-14T12:44:00Z</dcterms:modified>
</cp:coreProperties>
</file>